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DA2BB" w14:textId="762B1569" w:rsidR="00D8712B" w:rsidRDefault="00AE4CFB"/>
    <w:p w14:paraId="6DE15660" w14:textId="55028CD7" w:rsidR="00791696" w:rsidRDefault="00791696" w:rsidP="00791696">
      <w:pPr>
        <w:jc w:val="center"/>
        <w:rPr>
          <w:b/>
          <w:bCs/>
        </w:rPr>
      </w:pPr>
      <w:r w:rsidRPr="00791696">
        <w:rPr>
          <w:b/>
          <w:bCs/>
        </w:rPr>
        <w:t>Challenging Stereotypes, Providing Services, Convening, and Advocating: A multi-layer approach to promote LGBT</w:t>
      </w:r>
      <w:r>
        <w:rPr>
          <w:b/>
          <w:bCs/>
        </w:rPr>
        <w:t>Q</w:t>
      </w:r>
      <w:r w:rsidRPr="00791696">
        <w:rPr>
          <w:b/>
          <w:bCs/>
        </w:rPr>
        <w:t xml:space="preserve"> rights in Lebanon</w:t>
      </w:r>
    </w:p>
    <w:p w14:paraId="4FFBB581" w14:textId="7957A5B8" w:rsidR="00791696" w:rsidRPr="00AF7EB6" w:rsidRDefault="081131E7" w:rsidP="00791696">
      <w:pPr>
        <w:pStyle w:val="ListParagraph"/>
        <w:numPr>
          <w:ilvl w:val="0"/>
          <w:numId w:val="3"/>
        </w:numPr>
        <w:jc w:val="center"/>
        <w:rPr>
          <w:b/>
          <w:bCs/>
          <w:sz w:val="28"/>
          <w:szCs w:val="28"/>
        </w:rPr>
      </w:pPr>
      <w:r w:rsidRPr="00AF7EB6">
        <w:rPr>
          <w:b/>
          <w:bCs/>
          <w:sz w:val="28"/>
          <w:szCs w:val="28"/>
        </w:rPr>
        <w:t xml:space="preserve">Call for Proposals - </w:t>
      </w:r>
    </w:p>
    <w:p w14:paraId="1FCFB096" w14:textId="77777777" w:rsidR="00791696" w:rsidRDefault="00791696" w:rsidP="00791696">
      <w:pPr>
        <w:pStyle w:val="Guidelines2"/>
      </w:pPr>
      <w:r w:rsidRPr="00CF4C8D">
        <w:t>Background information</w:t>
      </w:r>
    </w:p>
    <w:p w14:paraId="02D547AC" w14:textId="21A13B07" w:rsidR="002C0575" w:rsidRDefault="00791696" w:rsidP="00791696">
      <w:r>
        <w:t>Oxfam in partnership with Qorras is implementing a project funded by the European Union through the European Instrument for Democracy and Human Rights, entitled “Challenging Stereotypes, Providing Services, Convening, and Advocating: A multi-layer approach to promote LGBTQ rights in Lebanon.”</w:t>
      </w:r>
      <w:r w:rsidR="002C0575">
        <w:t xml:space="preserve"> </w:t>
      </w:r>
      <w:r w:rsidR="002C0575" w:rsidRPr="002C0575">
        <w:t xml:space="preserve">The </w:t>
      </w:r>
      <w:r w:rsidR="002C0575">
        <w:t>project aim</w:t>
      </w:r>
      <w:r w:rsidR="00B217F8">
        <w:t>s</w:t>
      </w:r>
      <w:r w:rsidR="002C0575">
        <w:t xml:space="preserve"> to </w:t>
      </w:r>
      <w:r w:rsidR="002C0575" w:rsidRPr="002C0575">
        <w:t>support civil society efforts</w:t>
      </w:r>
      <w:r w:rsidR="002C0575">
        <w:t xml:space="preserve"> at protecting and promoting human rights and fundamental freedoms in Lebanon, specifically supporting the enjoyment of all human rights by the LGBTQ persons and protecting them against discrimination.</w:t>
      </w:r>
      <w:r w:rsidR="002C0575" w:rsidRPr="002C0575">
        <w:t xml:space="preserve"> </w:t>
      </w:r>
    </w:p>
    <w:p w14:paraId="1313241F" w14:textId="77777777" w:rsidR="002C0575" w:rsidRDefault="002C0575" w:rsidP="002C0575">
      <w:r>
        <w:t>The project aims to meet three outputs:</w:t>
      </w:r>
    </w:p>
    <w:p w14:paraId="605D80F7" w14:textId="6AAC309B" w:rsidR="002C0575" w:rsidRDefault="002C0575" w:rsidP="002C0575">
      <w:pPr>
        <w:pStyle w:val="ListParagraph"/>
        <w:numPr>
          <w:ilvl w:val="0"/>
          <w:numId w:val="4"/>
        </w:numPr>
      </w:pPr>
      <w:r>
        <w:t>Output 1: Stereotypes of LGBTI individuals are challenged through different forms of “creative knowledge”</w:t>
      </w:r>
    </w:p>
    <w:p w14:paraId="7E297D69" w14:textId="3E40CB7B" w:rsidR="002C0575" w:rsidRDefault="002C0575" w:rsidP="002C0575">
      <w:pPr>
        <w:pStyle w:val="ListParagraph"/>
        <w:numPr>
          <w:ilvl w:val="0"/>
          <w:numId w:val="4"/>
        </w:numPr>
      </w:pPr>
      <w:r>
        <w:t>Output 2: Access to safe legal, health, and MHPSS services for LGBTI individuals is facilitated</w:t>
      </w:r>
    </w:p>
    <w:p w14:paraId="40C440F0" w14:textId="07FC9597" w:rsidR="002C0575" w:rsidRDefault="002C0575" w:rsidP="002C0575">
      <w:pPr>
        <w:pStyle w:val="ListParagraph"/>
        <w:numPr>
          <w:ilvl w:val="0"/>
          <w:numId w:val="4"/>
        </w:numPr>
      </w:pPr>
      <w:r>
        <w:t>Output 3: Rights of LGBTI individuals are advocated for through evidence-production and convening events</w:t>
      </w:r>
    </w:p>
    <w:p w14:paraId="2F28D100" w14:textId="77777777" w:rsidR="002C0575" w:rsidRPr="00CF4C8D" w:rsidRDefault="002C0575" w:rsidP="002C0575">
      <w:pPr>
        <w:pStyle w:val="Guidelines2"/>
      </w:pPr>
      <w:r w:rsidRPr="00CF4C8D">
        <w:t xml:space="preserve">Objectives </w:t>
      </w:r>
      <w:r w:rsidRPr="005F1058">
        <w:rPr>
          <w:shd w:val="clear" w:color="auto" w:fill="92D050"/>
        </w:rPr>
        <w:t>of</w:t>
      </w:r>
      <w:r w:rsidRPr="00CF4C8D">
        <w:t xml:space="preserve"> the call for proposals</w:t>
      </w:r>
    </w:p>
    <w:p w14:paraId="4BE6BF1F" w14:textId="77777777" w:rsidR="002C0575" w:rsidRPr="00CF4C8D" w:rsidRDefault="002C0575" w:rsidP="002C0575">
      <w:pPr>
        <w:spacing w:after="0"/>
        <w:rPr>
          <w:rFonts w:cstheme="minorHAnsi"/>
        </w:rPr>
      </w:pPr>
      <w:bookmarkStart w:id="0" w:name="_Toc424219475"/>
    </w:p>
    <w:p w14:paraId="6E3EE518" w14:textId="6C78830F" w:rsidR="002C0575" w:rsidRDefault="002C0575" w:rsidP="002C0575">
      <w:pPr>
        <w:spacing w:after="0"/>
        <w:rPr>
          <w:rFonts w:eastAsia="Times New Roman Bold"/>
        </w:rPr>
      </w:pPr>
      <w:r w:rsidRPr="00CF4C8D">
        <w:rPr>
          <w:rFonts w:cstheme="minorHAnsi"/>
        </w:rPr>
        <w:t xml:space="preserve">As part of the </w:t>
      </w:r>
      <w:r w:rsidRPr="00CF4C8D">
        <w:rPr>
          <w:rFonts w:eastAsia="Times New Roman Bold"/>
        </w:rPr>
        <w:t>project</w:t>
      </w:r>
      <w:r w:rsidR="00A427FA">
        <w:rPr>
          <w:rFonts w:eastAsia="Times New Roman Bold"/>
        </w:rPr>
        <w:t>’s second output</w:t>
      </w:r>
      <w:r w:rsidRPr="00CF4C8D">
        <w:rPr>
          <w:rFonts w:eastAsia="Times New Roman Bold"/>
        </w:rPr>
        <w:t xml:space="preserve">, Oxfam is launching a call for proposals to provide financial support </w:t>
      </w:r>
      <w:r w:rsidR="00DC2506">
        <w:rPr>
          <w:rFonts w:eastAsia="Times New Roman Bold"/>
        </w:rPr>
        <w:t>for CSOs that work on service provision activities for the LGBTQ persons in Lebanon.</w:t>
      </w:r>
      <w:r w:rsidR="00690DFD">
        <w:rPr>
          <w:rFonts w:eastAsia="Times New Roman Bold"/>
        </w:rPr>
        <w:t xml:space="preserve"> The main objective of this sub-granting component is to respond to the gaps in services available to the LGBTQ community in Lebanon</w:t>
      </w:r>
    </w:p>
    <w:p w14:paraId="7DE7CBF1" w14:textId="77777777" w:rsidR="002C0575" w:rsidRPr="00CF4C8D" w:rsidRDefault="002C0575" w:rsidP="002C0575">
      <w:pPr>
        <w:spacing w:after="0"/>
        <w:rPr>
          <w:rFonts w:eastAsia="Times New Roman Bold"/>
          <w:i/>
          <w:iCs/>
        </w:rPr>
      </w:pPr>
    </w:p>
    <w:p w14:paraId="4087D111" w14:textId="77777777" w:rsidR="002C0575" w:rsidRPr="00CF4C8D" w:rsidRDefault="002C0575" w:rsidP="002C0575">
      <w:pPr>
        <w:pStyle w:val="Guidelines2"/>
      </w:pPr>
      <w:r w:rsidRPr="00CF4C8D">
        <w:t xml:space="preserve">Financial allocation </w:t>
      </w:r>
      <w:bookmarkEnd w:id="0"/>
    </w:p>
    <w:p w14:paraId="356C3E09" w14:textId="77777777" w:rsidR="002C0575" w:rsidRPr="00CF4C8D" w:rsidRDefault="002C0575" w:rsidP="002C0575">
      <w:pPr>
        <w:spacing w:after="0"/>
        <w:rPr>
          <w:rFonts w:cstheme="minorHAnsi"/>
        </w:rPr>
      </w:pPr>
    </w:p>
    <w:p w14:paraId="1494B657" w14:textId="32C9277D" w:rsidR="002C0575" w:rsidRPr="00CF4C8D" w:rsidRDefault="00EF73A7" w:rsidP="12BBD78D">
      <w:pPr>
        <w:spacing w:after="0"/>
      </w:pPr>
      <w:r>
        <w:t xml:space="preserve">Four grants in total will be awarded. </w:t>
      </w:r>
      <w:r w:rsidR="12BBD78D" w:rsidRPr="12BBD78D">
        <w:t xml:space="preserve">The overall indicative amount made available under this call for </w:t>
      </w:r>
      <w:r>
        <w:t>each grant/</w:t>
      </w:r>
      <w:r w:rsidR="12BBD78D" w:rsidRPr="12BBD78D">
        <w:t>proposal is a maximum of</w:t>
      </w:r>
      <w:r w:rsidR="12BBD78D" w:rsidRPr="12BBD78D">
        <w:rPr>
          <w:b/>
          <w:bCs/>
          <w:u w:val="single"/>
        </w:rPr>
        <w:t xml:space="preserve"> EUR 60,000.</w:t>
      </w:r>
    </w:p>
    <w:p w14:paraId="2823DDA1" w14:textId="37ABE709" w:rsidR="002C0575" w:rsidRPr="00CF4C8D" w:rsidRDefault="2187466C" w:rsidP="12BBD78D">
      <w:pPr>
        <w:spacing w:after="0"/>
      </w:pPr>
      <w:r w:rsidRPr="2187466C">
        <w:t xml:space="preserve">Selected CSOs will receive </w:t>
      </w:r>
      <w:r w:rsidR="00FC26DC">
        <w:t xml:space="preserve">parts of these </w:t>
      </w:r>
      <w:r w:rsidRPr="2187466C">
        <w:t>funds over several tranches in USD or L.L which will proceed through bank transfers from Lebanon.</w:t>
      </w:r>
    </w:p>
    <w:p w14:paraId="470D1421" w14:textId="19F99610" w:rsidR="2187466C" w:rsidRDefault="2187466C" w:rsidP="2187466C">
      <w:pPr>
        <w:spacing w:after="0"/>
      </w:pPr>
    </w:p>
    <w:p w14:paraId="02FA41E8" w14:textId="77777777" w:rsidR="002C0575" w:rsidRPr="00CF4C8D" w:rsidRDefault="002C0575" w:rsidP="002C0575">
      <w:pPr>
        <w:pStyle w:val="Guidelines2"/>
      </w:pPr>
      <w:r w:rsidRPr="00CF4C8D">
        <w:t>Eligibility criteria</w:t>
      </w:r>
    </w:p>
    <w:p w14:paraId="55BF21A5" w14:textId="77777777" w:rsidR="002C0575" w:rsidRPr="00CF4C8D" w:rsidRDefault="002C0575" w:rsidP="002C0575">
      <w:pPr>
        <w:spacing w:after="0"/>
        <w:rPr>
          <w:rFonts w:cstheme="minorHAnsi"/>
          <w:b/>
          <w:bCs/>
          <w:i/>
          <w:iCs/>
        </w:rPr>
      </w:pPr>
    </w:p>
    <w:p w14:paraId="207A91E9" w14:textId="77777777" w:rsidR="002C0575" w:rsidRPr="00CF4C8D" w:rsidRDefault="002C0575" w:rsidP="002C0575">
      <w:pPr>
        <w:spacing w:after="0"/>
        <w:rPr>
          <w:rFonts w:cstheme="minorHAnsi"/>
          <w:b/>
          <w:bCs/>
          <w:i/>
          <w:iCs/>
        </w:rPr>
      </w:pPr>
      <w:r w:rsidRPr="00CF4C8D">
        <w:rPr>
          <w:rFonts w:cstheme="minorHAnsi"/>
          <w:b/>
          <w:bCs/>
          <w:i/>
          <w:iCs/>
        </w:rPr>
        <w:t>Specific to the applicants:</w:t>
      </w:r>
    </w:p>
    <w:p w14:paraId="193C4F65" w14:textId="237F3283" w:rsidR="002C0575" w:rsidRPr="00CF4C8D" w:rsidRDefault="2C39F960" w:rsidP="2C39F960">
      <w:pPr>
        <w:pStyle w:val="ListParagraph"/>
        <w:numPr>
          <w:ilvl w:val="0"/>
          <w:numId w:val="7"/>
        </w:numPr>
        <w:spacing w:after="0" w:line="240" w:lineRule="auto"/>
        <w:ind w:left="360"/>
        <w:contextualSpacing w:val="0"/>
        <w:jc w:val="both"/>
      </w:pPr>
      <w:r w:rsidRPr="2C39F960">
        <w:t>The call for proposals is open only to registered Lebanese CSOs with experience working on sexual orientation, gender identity and expression, and sex characteristics (SOGIESC) issues.</w:t>
      </w:r>
    </w:p>
    <w:p w14:paraId="39BE8E90" w14:textId="1FF02892" w:rsidR="002C0575" w:rsidRPr="004F26C3" w:rsidRDefault="008F20D0" w:rsidP="002C0575">
      <w:pPr>
        <w:pStyle w:val="ListParagraph"/>
        <w:numPr>
          <w:ilvl w:val="0"/>
          <w:numId w:val="7"/>
        </w:numPr>
        <w:spacing w:after="0" w:line="240" w:lineRule="auto"/>
        <w:ind w:left="360"/>
        <w:contextualSpacing w:val="0"/>
        <w:jc w:val="both"/>
        <w:rPr>
          <w:rFonts w:cstheme="minorHAnsi"/>
        </w:rPr>
      </w:pPr>
      <w:r>
        <w:rPr>
          <w:rFonts w:cstheme="minorHAnsi"/>
        </w:rPr>
        <w:lastRenderedPageBreak/>
        <w:t>CSOs can apply individually or jointly</w:t>
      </w:r>
      <w:r w:rsidR="00D9224E">
        <w:rPr>
          <w:rFonts w:cstheme="minorHAnsi"/>
        </w:rPr>
        <w:t xml:space="preserve"> as a consortium</w:t>
      </w:r>
      <w:r>
        <w:rPr>
          <w:rFonts w:cstheme="minorHAnsi"/>
        </w:rPr>
        <w:t xml:space="preserve"> with other CSOs to this call for proposals. </w:t>
      </w:r>
    </w:p>
    <w:p w14:paraId="51F7100A" w14:textId="77777777" w:rsidR="002C0575" w:rsidRPr="00CF4C8D" w:rsidRDefault="002C0575" w:rsidP="002C0575">
      <w:pPr>
        <w:spacing w:after="0"/>
        <w:rPr>
          <w:rFonts w:cstheme="minorHAnsi"/>
          <w:b/>
          <w:bCs/>
          <w:i/>
          <w:iCs/>
        </w:rPr>
      </w:pPr>
    </w:p>
    <w:p w14:paraId="0E2F2A60" w14:textId="7E60A2DA" w:rsidR="002C0575" w:rsidRPr="00CF4C8D" w:rsidRDefault="081131E7" w:rsidP="081131E7">
      <w:pPr>
        <w:spacing w:after="0"/>
        <w:rPr>
          <w:b/>
          <w:bCs/>
          <w:i/>
          <w:iCs/>
        </w:rPr>
      </w:pPr>
      <w:r w:rsidRPr="081131E7">
        <w:rPr>
          <w:b/>
          <w:bCs/>
          <w:i/>
          <w:iCs/>
        </w:rPr>
        <w:t xml:space="preserve">Specific to the proposal </w:t>
      </w:r>
    </w:p>
    <w:p w14:paraId="27F3C7CE" w14:textId="43926B16" w:rsidR="081131E7" w:rsidRDefault="081131E7">
      <w:r>
        <w:t>This sub-granting component is part of a larger project to promote LGBTQ rights in Lebanon, implemented by Oxfam in partnership with Qorras. Following a multi-layered approach, supporting the work of CSOs that provide services to the community is complemented by research, policy work and other activities aiming to effect long-term change. As a result, we highly encourage applications with the following characteristics / considerations and areas of priority:</w:t>
      </w:r>
    </w:p>
    <w:p w14:paraId="142AED4D" w14:textId="1D08D5F7" w:rsidR="081131E7" w:rsidRDefault="081131E7" w:rsidP="081131E7">
      <w:pPr>
        <w:pStyle w:val="ListParagraph"/>
        <w:numPr>
          <w:ilvl w:val="0"/>
          <w:numId w:val="3"/>
        </w:numPr>
        <w:rPr>
          <w:rFonts w:eastAsiaTheme="minorEastAsia"/>
        </w:rPr>
      </w:pPr>
      <w:r w:rsidRPr="081131E7">
        <w:t>Legal services including legal representation, legal counselling, etc.</w:t>
      </w:r>
    </w:p>
    <w:p w14:paraId="78AB3CEC" w14:textId="1F986195" w:rsidR="081131E7" w:rsidRDefault="081131E7" w:rsidP="081131E7">
      <w:pPr>
        <w:pStyle w:val="ListParagraph"/>
        <w:numPr>
          <w:ilvl w:val="0"/>
          <w:numId w:val="3"/>
        </w:numPr>
        <w:rPr>
          <w:rFonts w:eastAsiaTheme="minorEastAsia"/>
        </w:rPr>
      </w:pPr>
      <w:r w:rsidRPr="081131E7">
        <w:t>MHPSS services include psychosocial counselling, psychosocial support, harm reduction services, group therapy, individual therapy, etc.</w:t>
      </w:r>
    </w:p>
    <w:p w14:paraId="043A61CB" w14:textId="0E209A0A" w:rsidR="081131E7" w:rsidRDefault="081131E7" w:rsidP="081131E7">
      <w:pPr>
        <w:pStyle w:val="ListParagraph"/>
        <w:numPr>
          <w:ilvl w:val="0"/>
          <w:numId w:val="3"/>
        </w:numPr>
        <w:rPr>
          <w:rFonts w:eastAsiaTheme="minorEastAsia"/>
        </w:rPr>
      </w:pPr>
      <w:r w:rsidRPr="081131E7">
        <w:t xml:space="preserve">Services that address the need for general health for people with trans experiences. </w:t>
      </w:r>
    </w:p>
    <w:p w14:paraId="695D8A34" w14:textId="4BA89DD9" w:rsidR="081131E7" w:rsidRDefault="081131E7" w:rsidP="081131E7">
      <w:pPr>
        <w:pStyle w:val="ListParagraph"/>
        <w:numPr>
          <w:ilvl w:val="0"/>
          <w:numId w:val="3"/>
        </w:numPr>
        <w:rPr>
          <w:rFonts w:eastAsiaTheme="minorEastAsia"/>
        </w:rPr>
      </w:pPr>
      <w:r w:rsidRPr="081131E7">
        <w:t xml:space="preserve">Health needs for individuals who have </w:t>
      </w:r>
      <w:r w:rsidR="007D3B82">
        <w:t>sexually transmitted infections (</w:t>
      </w:r>
      <w:r w:rsidRPr="081131E7">
        <w:t>STIs</w:t>
      </w:r>
      <w:r w:rsidR="007D3B82">
        <w:t>)</w:t>
      </w:r>
      <w:r w:rsidRPr="081131E7">
        <w:t xml:space="preserve"> and need treatment and currently don’t have access, people with trans experiences who are on hormone treatment or have an urgent medical or non-optional operation, survivors of hard drugs who require medicine provided by the government or NGOs. </w:t>
      </w:r>
    </w:p>
    <w:p w14:paraId="6091BD49" w14:textId="28125C0A" w:rsidR="081131E7" w:rsidRDefault="344713B6" w:rsidP="081131E7">
      <w:pPr>
        <w:pStyle w:val="ListParagraph"/>
        <w:numPr>
          <w:ilvl w:val="0"/>
          <w:numId w:val="3"/>
        </w:numPr>
        <w:rPr>
          <w:rFonts w:eastAsiaTheme="minorEastAsia"/>
        </w:rPr>
      </w:pPr>
      <w:r w:rsidRPr="344713B6">
        <w:t>Services for mental and substance use [ especially with the current crisis)</w:t>
      </w:r>
    </w:p>
    <w:p w14:paraId="19556BEA" w14:textId="0DBCDC1B" w:rsidR="344713B6" w:rsidRDefault="344713B6" w:rsidP="344713B6">
      <w:pPr>
        <w:pStyle w:val="ListParagraph"/>
        <w:numPr>
          <w:ilvl w:val="0"/>
          <w:numId w:val="3"/>
        </w:numPr>
      </w:pPr>
      <w:r w:rsidRPr="344713B6">
        <w:t xml:space="preserve">Mental health and psychosocial support services for organization’s staff </w:t>
      </w:r>
    </w:p>
    <w:p w14:paraId="3366F422" w14:textId="0341BC7B" w:rsidR="081131E7" w:rsidRDefault="344713B6" w:rsidP="081131E7">
      <w:pPr>
        <w:pStyle w:val="ListParagraph"/>
        <w:numPr>
          <w:ilvl w:val="0"/>
          <w:numId w:val="3"/>
        </w:numPr>
        <w:rPr>
          <w:rFonts w:eastAsiaTheme="minorEastAsia"/>
        </w:rPr>
      </w:pPr>
      <w:r w:rsidRPr="344713B6">
        <w:t>Building the capacity and political awareness of organizations and its members for a comprehensive understanding of LGBTQ needs in the context of service provision</w:t>
      </w:r>
    </w:p>
    <w:p w14:paraId="6F87007D" w14:textId="1EBC637A" w:rsidR="081131E7" w:rsidRDefault="081131E7" w:rsidP="081131E7">
      <w:pPr>
        <w:pStyle w:val="ListParagraph"/>
        <w:numPr>
          <w:ilvl w:val="0"/>
          <w:numId w:val="3"/>
        </w:numPr>
        <w:rPr>
          <w:rFonts w:eastAsiaTheme="minorEastAsia"/>
        </w:rPr>
      </w:pPr>
      <w:r w:rsidRPr="081131E7">
        <w:t>Sexual and reproductive health services including access to contraception and protection from STIs</w:t>
      </w:r>
    </w:p>
    <w:p w14:paraId="34404776" w14:textId="7A9F944A" w:rsidR="00EF73A7" w:rsidRPr="00EF73A7" w:rsidRDefault="00EF73A7" w:rsidP="00EF73A7">
      <w:pPr>
        <w:rPr>
          <w:rFonts w:eastAsiaTheme="minorEastAsia"/>
          <w:b/>
          <w:bCs/>
          <w:i/>
          <w:iCs/>
        </w:rPr>
      </w:pPr>
      <w:r w:rsidRPr="00EF73A7">
        <w:rPr>
          <w:rFonts w:eastAsiaTheme="minorEastAsia"/>
          <w:b/>
          <w:bCs/>
          <w:i/>
          <w:iCs/>
        </w:rPr>
        <w:t>General considerations</w:t>
      </w:r>
      <w:r>
        <w:rPr>
          <w:rFonts w:eastAsiaTheme="minorEastAsia"/>
          <w:b/>
          <w:bCs/>
          <w:i/>
          <w:iCs/>
        </w:rPr>
        <w:t xml:space="preserve"> affecting the selection of winning grants</w:t>
      </w:r>
    </w:p>
    <w:p w14:paraId="23517166" w14:textId="77777777" w:rsidR="00EF73A7" w:rsidRDefault="00EF73A7" w:rsidP="00EF73A7">
      <w:pPr>
        <w:pStyle w:val="ListParagraph"/>
        <w:numPr>
          <w:ilvl w:val="0"/>
          <w:numId w:val="3"/>
        </w:numPr>
        <w:rPr>
          <w:rFonts w:eastAsiaTheme="minorEastAsia"/>
        </w:rPr>
      </w:pPr>
      <w:r w:rsidRPr="081131E7">
        <w:t>Projects and activities that are defined in relation to long-term vision and strategies</w:t>
      </w:r>
    </w:p>
    <w:p w14:paraId="06782D80" w14:textId="77777777" w:rsidR="00EF73A7" w:rsidRDefault="00EF73A7" w:rsidP="00EF73A7">
      <w:pPr>
        <w:pStyle w:val="ListParagraph"/>
        <w:numPr>
          <w:ilvl w:val="0"/>
          <w:numId w:val="3"/>
        </w:numPr>
        <w:rPr>
          <w:rFonts w:eastAsiaTheme="minorEastAsia"/>
        </w:rPr>
      </w:pPr>
      <w:r w:rsidRPr="081131E7">
        <w:t>Projects and activities that build on existing evidence, findings and expertise</w:t>
      </w:r>
    </w:p>
    <w:p w14:paraId="4B763A00" w14:textId="77777777" w:rsidR="00EF73A7" w:rsidRDefault="00EF73A7" w:rsidP="00EF73A7">
      <w:pPr>
        <w:pStyle w:val="ListParagraph"/>
        <w:numPr>
          <w:ilvl w:val="0"/>
          <w:numId w:val="3"/>
        </w:numPr>
        <w:rPr>
          <w:rFonts w:eastAsiaTheme="minorEastAsia"/>
        </w:rPr>
      </w:pPr>
      <w:r w:rsidRPr="081131E7">
        <w:t>Holistic approaches that are led by cross-sectoral / inter-disciplinary partnerships or collaborations</w:t>
      </w:r>
    </w:p>
    <w:p w14:paraId="119BFC2D" w14:textId="77777777" w:rsidR="00EF73A7" w:rsidRDefault="00EF73A7" w:rsidP="00EF73A7">
      <w:pPr>
        <w:pStyle w:val="ListParagraph"/>
        <w:numPr>
          <w:ilvl w:val="0"/>
          <w:numId w:val="3"/>
        </w:numPr>
        <w:rPr>
          <w:rFonts w:eastAsiaTheme="minorEastAsia"/>
        </w:rPr>
      </w:pPr>
      <w:r w:rsidRPr="081131E7">
        <w:t xml:space="preserve">Projects and activities that have the potential to bear impact beyond the duration of the sub-grant  </w:t>
      </w:r>
    </w:p>
    <w:p w14:paraId="286EA4B5" w14:textId="48B31FBB" w:rsidR="081131E7" w:rsidRDefault="081131E7">
      <w:r w:rsidRPr="081131E7">
        <w:rPr>
          <w:b/>
          <w:bCs/>
          <w:i/>
          <w:iCs/>
        </w:rPr>
        <w:t>Specific to requirements and supporting documents</w:t>
      </w:r>
    </w:p>
    <w:p w14:paraId="26E97AAC" w14:textId="0A899656" w:rsidR="003941E0" w:rsidRPr="00CF4C8D" w:rsidRDefault="003941E0" w:rsidP="002C0575">
      <w:pPr>
        <w:pStyle w:val="ListParagraph"/>
        <w:numPr>
          <w:ilvl w:val="0"/>
          <w:numId w:val="8"/>
        </w:numPr>
        <w:spacing w:after="0" w:line="240" w:lineRule="auto"/>
        <w:ind w:left="360"/>
        <w:contextualSpacing w:val="0"/>
        <w:jc w:val="both"/>
        <w:rPr>
          <w:rFonts w:cstheme="minorHAnsi"/>
        </w:rPr>
      </w:pPr>
      <w:r>
        <w:rPr>
          <w:rFonts w:cstheme="minorHAnsi"/>
        </w:rPr>
        <w:t>Proposal</w:t>
      </w:r>
      <w:r w:rsidR="00D4108D">
        <w:rPr>
          <w:rFonts w:cstheme="minorHAnsi"/>
        </w:rPr>
        <w:t>s</w:t>
      </w:r>
      <w:r>
        <w:rPr>
          <w:rFonts w:cstheme="minorHAnsi"/>
        </w:rPr>
        <w:t xml:space="preserve"> must include details on how </w:t>
      </w:r>
      <w:r w:rsidR="00D4108D">
        <w:rPr>
          <w:rFonts w:cstheme="minorHAnsi"/>
        </w:rPr>
        <w:t>the applicant will</w:t>
      </w:r>
      <w:r>
        <w:rPr>
          <w:rFonts w:cstheme="minorHAnsi"/>
        </w:rPr>
        <w:t xml:space="preserve"> reach beneficiaries residing outside the greater Beirut area</w:t>
      </w:r>
    </w:p>
    <w:p w14:paraId="440E6891" w14:textId="1156CC5E" w:rsidR="002C0575" w:rsidRPr="00CF4C8D" w:rsidRDefault="00D4108D" w:rsidP="002C0575">
      <w:pPr>
        <w:pStyle w:val="ListParagraph"/>
        <w:numPr>
          <w:ilvl w:val="0"/>
          <w:numId w:val="8"/>
        </w:numPr>
        <w:spacing w:after="0" w:line="240" w:lineRule="auto"/>
        <w:ind w:left="360"/>
        <w:contextualSpacing w:val="0"/>
        <w:jc w:val="both"/>
        <w:rPr>
          <w:rFonts w:cstheme="minorHAnsi"/>
        </w:rPr>
      </w:pPr>
      <w:r>
        <w:rPr>
          <w:rFonts w:cstheme="minorHAnsi"/>
        </w:rPr>
        <w:t>Beneficiaries of the service provision activities must be members of the LGBTQ community, aged above 18, and residing in Lebanon</w:t>
      </w:r>
      <w:r w:rsidR="00B217F8">
        <w:rPr>
          <w:rFonts w:cstheme="minorHAnsi"/>
        </w:rPr>
        <w:t>,</w:t>
      </w:r>
      <w:r>
        <w:rPr>
          <w:rFonts w:cstheme="minorHAnsi"/>
        </w:rPr>
        <w:t xml:space="preserve"> irrespective of their nationality</w:t>
      </w:r>
      <w:r w:rsidR="00B217F8">
        <w:rPr>
          <w:rFonts w:cstheme="minorHAnsi"/>
        </w:rPr>
        <w:t>;</w:t>
      </w:r>
    </w:p>
    <w:p w14:paraId="77CE5565" w14:textId="63BFCEDC" w:rsidR="002C0575" w:rsidRDefault="002C0575" w:rsidP="002C0575">
      <w:pPr>
        <w:pStyle w:val="ListParagraph"/>
        <w:numPr>
          <w:ilvl w:val="0"/>
          <w:numId w:val="8"/>
        </w:numPr>
        <w:spacing w:after="0" w:line="240" w:lineRule="auto"/>
        <w:ind w:left="360"/>
        <w:contextualSpacing w:val="0"/>
        <w:jc w:val="both"/>
        <w:rPr>
          <w:rFonts w:cstheme="minorHAnsi"/>
        </w:rPr>
      </w:pPr>
      <w:r w:rsidRPr="00CF4C8D">
        <w:rPr>
          <w:rFonts w:cstheme="minorHAnsi"/>
        </w:rPr>
        <w:t xml:space="preserve">Proposals </w:t>
      </w:r>
      <w:r>
        <w:rPr>
          <w:rFonts w:cstheme="minorHAnsi"/>
        </w:rPr>
        <w:t xml:space="preserve">need to be </w:t>
      </w:r>
      <w:r w:rsidRPr="00CF4C8D">
        <w:rPr>
          <w:rFonts w:cstheme="minorHAnsi"/>
        </w:rPr>
        <w:t>submitted with the supporting documents</w:t>
      </w:r>
      <w:r w:rsidR="00B953B3">
        <w:rPr>
          <w:rFonts w:cstheme="minorHAnsi"/>
        </w:rPr>
        <w:t xml:space="preserve"> using the attached templates</w:t>
      </w:r>
      <w:r w:rsidRPr="00CF4C8D">
        <w:rPr>
          <w:rFonts w:cstheme="minorHAnsi"/>
        </w:rPr>
        <w:t xml:space="preserve"> (budget, workplan, </w:t>
      </w:r>
      <w:r w:rsidR="00B953B3">
        <w:rPr>
          <w:rFonts w:cstheme="minorHAnsi"/>
        </w:rPr>
        <w:t>logframe</w:t>
      </w:r>
      <w:r w:rsidR="003941E0">
        <w:rPr>
          <w:rFonts w:cstheme="minorHAnsi"/>
        </w:rPr>
        <w:t>, and contingency plan</w:t>
      </w:r>
      <w:r w:rsidRPr="00CF4C8D">
        <w:rPr>
          <w:rFonts w:cstheme="minorHAnsi"/>
        </w:rPr>
        <w:t xml:space="preserve">) </w:t>
      </w:r>
      <w:r>
        <w:rPr>
          <w:rFonts w:cstheme="minorHAnsi"/>
        </w:rPr>
        <w:t xml:space="preserve">or </w:t>
      </w:r>
      <w:r w:rsidRPr="00CF4C8D">
        <w:rPr>
          <w:rFonts w:cstheme="minorHAnsi"/>
        </w:rPr>
        <w:t>will</w:t>
      </w:r>
      <w:r>
        <w:rPr>
          <w:rFonts w:cstheme="minorHAnsi"/>
        </w:rPr>
        <w:t xml:space="preserve"> not be considered</w:t>
      </w:r>
    </w:p>
    <w:p w14:paraId="41AEF1E9" w14:textId="2884BBC3" w:rsidR="002C0575" w:rsidRDefault="002C0575" w:rsidP="002C0575">
      <w:pPr>
        <w:pStyle w:val="ListParagraph"/>
        <w:numPr>
          <w:ilvl w:val="0"/>
          <w:numId w:val="8"/>
        </w:numPr>
        <w:spacing w:after="0" w:line="240" w:lineRule="auto"/>
        <w:ind w:left="360"/>
        <w:contextualSpacing w:val="0"/>
        <w:jc w:val="both"/>
        <w:rPr>
          <w:rFonts w:cstheme="minorHAnsi"/>
        </w:rPr>
      </w:pPr>
      <w:r>
        <w:rPr>
          <w:rFonts w:cstheme="minorHAnsi"/>
        </w:rPr>
        <w:t xml:space="preserve">Time frame for the suggested project is </w:t>
      </w:r>
      <w:r w:rsidR="003941E0" w:rsidRPr="000949D4">
        <w:rPr>
          <w:rFonts w:cstheme="minorHAnsi"/>
          <w:b/>
          <w:bCs/>
          <w:u w:val="single"/>
        </w:rPr>
        <w:t>12</w:t>
      </w:r>
      <w:r w:rsidRPr="000949D4">
        <w:rPr>
          <w:rFonts w:cstheme="minorHAnsi"/>
          <w:b/>
          <w:bCs/>
          <w:u w:val="single"/>
        </w:rPr>
        <w:t xml:space="preserve"> months</w:t>
      </w:r>
      <w:r>
        <w:rPr>
          <w:rFonts w:cstheme="minorHAnsi"/>
        </w:rPr>
        <w:t xml:space="preserve"> starting mid to end of </w:t>
      </w:r>
      <w:r w:rsidR="00E2425C">
        <w:rPr>
          <w:rFonts w:cstheme="minorHAnsi"/>
          <w:b/>
          <w:bCs/>
          <w:u w:val="single"/>
        </w:rPr>
        <w:t>October</w:t>
      </w:r>
      <w:r w:rsidRPr="000949D4">
        <w:rPr>
          <w:rFonts w:cstheme="minorHAnsi"/>
          <w:b/>
          <w:bCs/>
          <w:u w:val="single"/>
        </w:rPr>
        <w:t xml:space="preserve"> </w:t>
      </w:r>
      <w:r w:rsidR="003941E0" w:rsidRPr="000949D4">
        <w:rPr>
          <w:rFonts w:cstheme="minorHAnsi"/>
          <w:b/>
          <w:bCs/>
          <w:u w:val="single"/>
        </w:rPr>
        <w:t>2020</w:t>
      </w:r>
      <w:r>
        <w:rPr>
          <w:rFonts w:cstheme="minorHAnsi"/>
        </w:rPr>
        <w:t xml:space="preserve"> </w:t>
      </w:r>
      <w:r w:rsidRPr="004E2AF2">
        <w:rPr>
          <w:rFonts w:cstheme="minorHAnsi"/>
          <w:i/>
          <w:iCs/>
        </w:rPr>
        <w:t>(</w:t>
      </w:r>
      <w:r>
        <w:rPr>
          <w:rFonts w:cstheme="minorHAnsi"/>
          <w:i/>
          <w:iCs/>
        </w:rPr>
        <w:t>to be confirmed in due time</w:t>
      </w:r>
      <w:r w:rsidRPr="004E2AF2">
        <w:rPr>
          <w:rFonts w:cstheme="minorHAnsi"/>
          <w:i/>
          <w:iCs/>
        </w:rPr>
        <w:t>)</w:t>
      </w:r>
    </w:p>
    <w:p w14:paraId="6F8358F9" w14:textId="49EAE40D" w:rsidR="002C0575" w:rsidRPr="004E2AF2" w:rsidRDefault="002C0575" w:rsidP="002C0575">
      <w:pPr>
        <w:pStyle w:val="ListParagraph"/>
        <w:numPr>
          <w:ilvl w:val="0"/>
          <w:numId w:val="8"/>
        </w:numPr>
        <w:spacing w:after="0" w:line="240" w:lineRule="auto"/>
        <w:ind w:left="360"/>
        <w:contextualSpacing w:val="0"/>
        <w:jc w:val="both"/>
        <w:rPr>
          <w:rFonts w:cstheme="minorHAnsi"/>
        </w:rPr>
      </w:pPr>
      <w:r>
        <w:rPr>
          <w:rFonts w:cstheme="minorHAnsi"/>
        </w:rPr>
        <w:t>The workplan and monitoring plan need</w:t>
      </w:r>
      <w:r w:rsidR="00B217F8">
        <w:rPr>
          <w:rFonts w:cstheme="minorHAnsi"/>
        </w:rPr>
        <w:t>s</w:t>
      </w:r>
      <w:r>
        <w:rPr>
          <w:rFonts w:cstheme="minorHAnsi"/>
        </w:rPr>
        <w:t xml:space="preserve"> to show how the activities will be planned and monitored over </w:t>
      </w:r>
      <w:r w:rsidR="003941E0" w:rsidRPr="003941E0">
        <w:rPr>
          <w:rFonts w:cstheme="minorHAnsi"/>
          <w:b/>
          <w:bCs/>
          <w:u w:val="single"/>
        </w:rPr>
        <w:t>12</w:t>
      </w:r>
      <w:r w:rsidRPr="004E2AF2">
        <w:rPr>
          <w:rFonts w:cstheme="minorHAnsi"/>
          <w:b/>
          <w:bCs/>
          <w:u w:val="single"/>
        </w:rPr>
        <w:t xml:space="preserve"> month</w:t>
      </w:r>
      <w:r w:rsidR="003941E0">
        <w:rPr>
          <w:rFonts w:cstheme="minorHAnsi"/>
          <w:b/>
          <w:bCs/>
          <w:u w:val="single"/>
        </w:rPr>
        <w:t>s</w:t>
      </w:r>
    </w:p>
    <w:p w14:paraId="221D7074" w14:textId="77777777" w:rsidR="002C0575" w:rsidRPr="00CF4C8D" w:rsidRDefault="002C0575" w:rsidP="002C0575">
      <w:pPr>
        <w:spacing w:after="0"/>
        <w:rPr>
          <w:rFonts w:cstheme="minorHAnsi"/>
          <w:b/>
          <w:bCs/>
          <w:i/>
          <w:iCs/>
        </w:rPr>
      </w:pPr>
    </w:p>
    <w:p w14:paraId="5E6FC70A" w14:textId="77777777" w:rsidR="002C0575" w:rsidRPr="00CF4C8D" w:rsidRDefault="002C0575" w:rsidP="002C0575">
      <w:pPr>
        <w:spacing w:after="0"/>
        <w:rPr>
          <w:rFonts w:cstheme="minorHAnsi"/>
          <w:b/>
          <w:bCs/>
          <w:i/>
          <w:iCs/>
        </w:rPr>
      </w:pPr>
      <w:r w:rsidRPr="00CF4C8D">
        <w:rPr>
          <w:rFonts w:cstheme="minorHAnsi"/>
          <w:b/>
          <w:bCs/>
          <w:i/>
          <w:iCs/>
        </w:rPr>
        <w:t>Specific to the cost:</w:t>
      </w:r>
    </w:p>
    <w:p w14:paraId="09AA0E17" w14:textId="77777777" w:rsidR="00EF73A7" w:rsidRPr="00EF73A7" w:rsidRDefault="2C39F960" w:rsidP="2C39F960">
      <w:pPr>
        <w:pStyle w:val="ListParagraph"/>
        <w:numPr>
          <w:ilvl w:val="0"/>
          <w:numId w:val="9"/>
        </w:numPr>
        <w:spacing w:after="0" w:line="240" w:lineRule="auto"/>
        <w:ind w:left="360"/>
        <w:contextualSpacing w:val="0"/>
        <w:jc w:val="both"/>
        <w:rPr>
          <w:i/>
          <w:iCs/>
        </w:rPr>
      </w:pPr>
      <w:r w:rsidRPr="2C39F960">
        <w:t xml:space="preserve">Total budget will cover all cost planned </w:t>
      </w:r>
      <w:r w:rsidRPr="2C39F960">
        <w:rPr>
          <w:b/>
          <w:bCs/>
          <w:u w:val="single"/>
        </w:rPr>
        <w:t>per proposal</w:t>
      </w:r>
    </w:p>
    <w:p w14:paraId="0133AD9E" w14:textId="5E74E7CC" w:rsidR="002C0575" w:rsidRPr="0073464E" w:rsidRDefault="00EF73A7" w:rsidP="00FC4662">
      <w:pPr>
        <w:pStyle w:val="ListParagraph"/>
        <w:numPr>
          <w:ilvl w:val="0"/>
          <w:numId w:val="9"/>
        </w:numPr>
        <w:spacing w:after="0" w:line="240" w:lineRule="auto"/>
        <w:ind w:left="360"/>
        <w:contextualSpacing w:val="0"/>
        <w:jc w:val="both"/>
        <w:rPr>
          <w:i/>
          <w:iCs/>
        </w:rPr>
      </w:pPr>
      <w:r w:rsidRPr="0073464E">
        <w:t xml:space="preserve">In case two CSOs are applying together, </w:t>
      </w:r>
      <w:r w:rsidR="00FC4662" w:rsidRPr="0073464E">
        <w:t>the total budget (a maximum of EUR</w:t>
      </w:r>
      <w:r w:rsidR="0073464E" w:rsidRPr="0073464E">
        <w:t xml:space="preserve"> 60,000) must be broken down in one proposal covering all cost planned by both CSOs</w:t>
      </w:r>
    </w:p>
    <w:p w14:paraId="08A37B8B" w14:textId="77777777" w:rsidR="002C0575" w:rsidRPr="004153B5" w:rsidRDefault="002C0575" w:rsidP="002C0575">
      <w:pPr>
        <w:pStyle w:val="ListParagraph"/>
        <w:numPr>
          <w:ilvl w:val="0"/>
          <w:numId w:val="9"/>
        </w:numPr>
        <w:spacing w:after="0" w:line="240" w:lineRule="auto"/>
        <w:ind w:left="360"/>
        <w:contextualSpacing w:val="0"/>
        <w:jc w:val="both"/>
        <w:rPr>
          <w:rFonts w:cstheme="minorHAnsi"/>
          <w:i/>
          <w:iCs/>
        </w:rPr>
      </w:pPr>
      <w:r>
        <w:rPr>
          <w:rFonts w:cstheme="minorHAnsi"/>
        </w:rPr>
        <w:t>The breakdown of the total budget needs to be as such:</w:t>
      </w:r>
    </w:p>
    <w:p w14:paraId="02C73E2B" w14:textId="77777777" w:rsidR="002C0575" w:rsidRPr="004153B5" w:rsidRDefault="002C0575" w:rsidP="002C0575">
      <w:pPr>
        <w:pStyle w:val="ListParagraph"/>
        <w:numPr>
          <w:ilvl w:val="1"/>
          <w:numId w:val="9"/>
        </w:numPr>
        <w:spacing w:after="0" w:line="240" w:lineRule="auto"/>
        <w:contextualSpacing w:val="0"/>
        <w:jc w:val="both"/>
        <w:rPr>
          <w:rFonts w:cstheme="minorHAnsi"/>
          <w:i/>
          <w:iCs/>
        </w:rPr>
      </w:pPr>
      <w:r>
        <w:rPr>
          <w:rFonts w:cstheme="minorHAnsi"/>
        </w:rPr>
        <w:t xml:space="preserve"> Human Resource cost (ex: % of the salaries): up to </w:t>
      </w:r>
      <w:r w:rsidRPr="00B312E4">
        <w:rPr>
          <w:rFonts w:cstheme="minorHAnsi"/>
          <w:b/>
          <w:bCs/>
          <w:u w:val="single"/>
        </w:rPr>
        <w:t>15%</w:t>
      </w:r>
      <w:r>
        <w:rPr>
          <w:rFonts w:cstheme="minorHAnsi"/>
        </w:rPr>
        <w:t xml:space="preserve"> of the total budget</w:t>
      </w:r>
    </w:p>
    <w:p w14:paraId="30A8B3B7" w14:textId="77777777" w:rsidR="002C0575" w:rsidRPr="004153B5" w:rsidRDefault="002C0575" w:rsidP="002C0575">
      <w:pPr>
        <w:pStyle w:val="ListParagraph"/>
        <w:numPr>
          <w:ilvl w:val="1"/>
          <w:numId w:val="9"/>
        </w:numPr>
        <w:spacing w:after="0" w:line="240" w:lineRule="auto"/>
        <w:contextualSpacing w:val="0"/>
        <w:jc w:val="both"/>
        <w:rPr>
          <w:rFonts w:cstheme="minorHAnsi"/>
          <w:i/>
          <w:iCs/>
        </w:rPr>
      </w:pPr>
      <w:r>
        <w:rPr>
          <w:rFonts w:cstheme="minorHAnsi"/>
        </w:rPr>
        <w:t xml:space="preserve"> Support cost (ex: % for transportation and communication): up to </w:t>
      </w:r>
      <w:r w:rsidRPr="00B312E4">
        <w:rPr>
          <w:rFonts w:cstheme="minorHAnsi"/>
          <w:b/>
          <w:bCs/>
          <w:u w:val="single"/>
        </w:rPr>
        <w:t>10%</w:t>
      </w:r>
      <w:r>
        <w:rPr>
          <w:rFonts w:cstheme="minorHAnsi"/>
        </w:rPr>
        <w:t xml:space="preserve"> of the total budget</w:t>
      </w:r>
    </w:p>
    <w:p w14:paraId="530340E2" w14:textId="01DD9AE4" w:rsidR="002C0575" w:rsidRPr="0041270B" w:rsidRDefault="2E2C7602" w:rsidP="2E2C7602">
      <w:pPr>
        <w:pStyle w:val="ListParagraph"/>
        <w:numPr>
          <w:ilvl w:val="1"/>
          <w:numId w:val="9"/>
        </w:numPr>
        <w:spacing w:after="0" w:line="240" w:lineRule="auto"/>
        <w:contextualSpacing w:val="0"/>
        <w:jc w:val="both"/>
        <w:rPr>
          <w:i/>
          <w:iCs/>
        </w:rPr>
      </w:pPr>
      <w:r w:rsidRPr="2E2C7602">
        <w:t xml:space="preserve"> Activity cost (ex</w:t>
      </w:r>
      <w:r w:rsidR="007D3B82">
        <w:t>: legal representation fees, STI kits, counsellor fees,</w:t>
      </w:r>
      <w:r w:rsidRPr="2E2C7602">
        <w:t xml:space="preserve"> printing): at least </w:t>
      </w:r>
      <w:r w:rsidRPr="2E2C7602">
        <w:rPr>
          <w:b/>
          <w:bCs/>
          <w:u w:val="single"/>
        </w:rPr>
        <w:t xml:space="preserve">75% </w:t>
      </w:r>
      <w:r w:rsidRPr="2E2C7602">
        <w:t>of the total budget</w:t>
      </w:r>
    </w:p>
    <w:p w14:paraId="0DB15C37" w14:textId="03D11553" w:rsidR="002C0575" w:rsidRDefault="002C0575" w:rsidP="2E2C7602">
      <w:pPr>
        <w:spacing w:after="0" w:line="240" w:lineRule="auto"/>
        <w:jc w:val="both"/>
      </w:pPr>
    </w:p>
    <w:p w14:paraId="3F799AB4" w14:textId="77777777" w:rsidR="002C0575" w:rsidRPr="00CF4C8D" w:rsidRDefault="002C0575" w:rsidP="002C0575">
      <w:pPr>
        <w:pStyle w:val="ListParagraph"/>
        <w:spacing w:after="0"/>
        <w:ind w:left="0"/>
        <w:rPr>
          <w:rFonts w:cstheme="minorHAnsi"/>
          <w:i/>
          <w:iCs/>
        </w:rPr>
      </w:pPr>
    </w:p>
    <w:p w14:paraId="3730C8FA" w14:textId="77777777" w:rsidR="002C0575" w:rsidRPr="00CF4C8D" w:rsidRDefault="002C0575" w:rsidP="002C0575">
      <w:pPr>
        <w:pStyle w:val="Guidelines2"/>
      </w:pPr>
      <w:r w:rsidRPr="00CF4C8D">
        <w:t>How to apply and the procedures to follow</w:t>
      </w:r>
    </w:p>
    <w:p w14:paraId="659AF3A3" w14:textId="77777777" w:rsidR="002C0575" w:rsidRPr="00CF4C8D" w:rsidRDefault="002C0575" w:rsidP="002C0575">
      <w:pPr>
        <w:pStyle w:val="ListParagraph"/>
        <w:spacing w:after="0"/>
        <w:rPr>
          <w:rFonts w:cstheme="minorHAnsi"/>
          <w:i/>
          <w:iCs/>
        </w:rPr>
      </w:pPr>
    </w:p>
    <w:p w14:paraId="0919C243" w14:textId="42465C47" w:rsidR="002A2E7B" w:rsidRPr="002A2E7B" w:rsidRDefault="2C39F960" w:rsidP="002A2E7B">
      <w:pPr>
        <w:pStyle w:val="ListParagraph"/>
        <w:numPr>
          <w:ilvl w:val="0"/>
          <w:numId w:val="10"/>
        </w:numPr>
        <w:spacing w:after="0" w:line="240" w:lineRule="auto"/>
        <w:ind w:left="360"/>
        <w:contextualSpacing w:val="0"/>
        <w:jc w:val="both"/>
        <w:rPr>
          <w:b/>
          <w:bCs/>
          <w:u w:val="single"/>
        </w:rPr>
      </w:pPr>
      <w:r w:rsidRPr="002A2E7B">
        <w:t xml:space="preserve">Deadline for submission of the proposals and all supporting documents is </w:t>
      </w:r>
      <w:r w:rsidR="00D0283C">
        <w:t xml:space="preserve">September </w:t>
      </w:r>
      <w:r w:rsidR="00AE4CFB">
        <w:t>14</w:t>
      </w:r>
      <w:bookmarkStart w:id="1" w:name="_GoBack"/>
      <w:bookmarkEnd w:id="1"/>
      <w:r w:rsidR="002A2E7B" w:rsidRPr="002A2E7B">
        <w:t>, 2020</w:t>
      </w:r>
      <w:r w:rsidRPr="002A2E7B">
        <w:t>.</w:t>
      </w:r>
    </w:p>
    <w:p w14:paraId="0773C95B" w14:textId="4D6F0907" w:rsidR="2C39F960" w:rsidRPr="002A2E7B" w:rsidRDefault="2C39F960" w:rsidP="002A2E7B">
      <w:pPr>
        <w:pStyle w:val="ListParagraph"/>
        <w:numPr>
          <w:ilvl w:val="0"/>
          <w:numId w:val="10"/>
        </w:numPr>
        <w:spacing w:after="0" w:line="240" w:lineRule="auto"/>
        <w:ind w:left="360"/>
        <w:contextualSpacing w:val="0"/>
        <w:jc w:val="both"/>
        <w:rPr>
          <w:b/>
          <w:bCs/>
          <w:u w:val="single"/>
        </w:rPr>
      </w:pPr>
      <w:r w:rsidRPr="002A2E7B">
        <w:t>Oxfam will organize a virtual</w:t>
      </w:r>
      <w:r w:rsidRPr="2C39F960">
        <w:t xml:space="preserve"> open house on </w:t>
      </w:r>
      <w:r w:rsidR="00D0283C">
        <w:t>September 1</w:t>
      </w:r>
      <w:r w:rsidR="002A2E7B">
        <w:t>, 2020</w:t>
      </w:r>
      <w:r w:rsidRPr="2C39F960">
        <w:t xml:space="preserve"> </w:t>
      </w:r>
      <w:r w:rsidR="002A2E7B">
        <w:t xml:space="preserve">at 11:00 AM </w:t>
      </w:r>
      <w:r w:rsidRPr="2C39F960">
        <w:t xml:space="preserve">to present the project and answer questions asked by potential applicants. Those who wish to be part of the call are asked to request access by emailing Nizar Aouad: </w:t>
      </w:r>
      <w:hyperlink r:id="rId7">
        <w:r w:rsidRPr="002A2E7B">
          <w:rPr>
            <w:rStyle w:val="Hyperlink"/>
            <w:rFonts w:cstheme="minorBidi"/>
          </w:rPr>
          <w:t>naouad@oxfam.org.uk</w:t>
        </w:r>
      </w:hyperlink>
      <w:r w:rsidRPr="2C39F960">
        <w:t xml:space="preserve"> </w:t>
      </w:r>
      <w:r w:rsidRPr="002A2E7B">
        <w:t xml:space="preserve">by </w:t>
      </w:r>
      <w:r w:rsidR="002A2E7B" w:rsidRPr="002A2E7B">
        <w:t xml:space="preserve">August </w:t>
      </w:r>
      <w:r w:rsidR="00D0283C">
        <w:t>31</w:t>
      </w:r>
      <w:r w:rsidR="002A2E7B" w:rsidRPr="002A2E7B">
        <w:t>, 2020</w:t>
      </w:r>
      <w:r w:rsidRPr="2C39F960">
        <w:t xml:space="preserve"> COB at the latest.</w:t>
      </w:r>
    </w:p>
    <w:p w14:paraId="66CA2150" w14:textId="45803B51" w:rsidR="002C0575" w:rsidRPr="004304C8" w:rsidRDefault="2C39F960" w:rsidP="002C0575">
      <w:pPr>
        <w:pStyle w:val="ListParagraph"/>
        <w:numPr>
          <w:ilvl w:val="0"/>
          <w:numId w:val="10"/>
        </w:numPr>
        <w:spacing w:after="0" w:line="240" w:lineRule="auto"/>
        <w:ind w:left="360"/>
        <w:contextualSpacing w:val="0"/>
        <w:jc w:val="both"/>
        <w:rPr>
          <w:rFonts w:cstheme="minorHAnsi"/>
          <w:i/>
          <w:iCs/>
        </w:rPr>
      </w:pPr>
      <w:r w:rsidRPr="2C39F960">
        <w:t xml:space="preserve">Proposals and all supporting documents will be sent to Nizar Aouad: </w:t>
      </w:r>
      <w:hyperlink r:id="rId8">
        <w:r w:rsidRPr="004304C8">
          <w:rPr>
            <w:rStyle w:val="Hyperlink"/>
            <w:rFonts w:cstheme="minorBidi"/>
          </w:rPr>
          <w:t>naouad@oxfam.org.uk</w:t>
        </w:r>
      </w:hyperlink>
      <w:r w:rsidRPr="2C39F960">
        <w:t xml:space="preserve"> </w:t>
      </w:r>
      <w:r w:rsidR="00B953B3">
        <w:t xml:space="preserve"> and </w:t>
      </w:r>
    </w:p>
    <w:p w14:paraId="637059C2" w14:textId="6047D196" w:rsidR="004304C8" w:rsidRPr="004304C8" w:rsidRDefault="00AE4CFB" w:rsidP="004304C8">
      <w:pPr>
        <w:pStyle w:val="ListParagraph"/>
        <w:spacing w:after="0" w:line="240" w:lineRule="auto"/>
        <w:ind w:left="360"/>
        <w:contextualSpacing w:val="0"/>
        <w:jc w:val="both"/>
        <w:rPr>
          <w:rStyle w:val="Hyperlink"/>
          <w:rFonts w:cstheme="minorBidi"/>
        </w:rPr>
      </w:pPr>
      <w:hyperlink r:id="rId9" w:history="1">
        <w:r w:rsidR="004304C8" w:rsidRPr="00290251">
          <w:rPr>
            <w:rStyle w:val="Hyperlink"/>
            <w:rFonts w:cstheme="minorBidi"/>
          </w:rPr>
          <w:t>LebanonJobs@oxfam.org.uk</w:t>
        </w:r>
      </w:hyperlink>
      <w:r w:rsidR="004304C8" w:rsidRPr="004304C8">
        <w:rPr>
          <w:rStyle w:val="Hyperlink"/>
          <w:rFonts w:cstheme="minorBidi"/>
        </w:rPr>
        <w:t> </w:t>
      </w:r>
      <w:r w:rsidR="004304C8" w:rsidRPr="004304C8">
        <w:rPr>
          <w:rStyle w:val="Hyperlink"/>
          <w:rFonts w:cstheme="minorBidi"/>
        </w:rPr>
        <w:br/>
      </w:r>
    </w:p>
    <w:p w14:paraId="736CF205" w14:textId="77777777" w:rsidR="002C0575" w:rsidRPr="00CF4C8D" w:rsidRDefault="002C0575" w:rsidP="002C0575">
      <w:pPr>
        <w:pStyle w:val="Guidelines2"/>
      </w:pPr>
      <w:r>
        <w:t>Consideration</w:t>
      </w:r>
      <w:r w:rsidRPr="00CF4C8D">
        <w:t xml:space="preserve"> of supporting documents for provisionally selected proposals</w:t>
      </w:r>
    </w:p>
    <w:p w14:paraId="358DA29A" w14:textId="77777777" w:rsidR="002C0575" w:rsidRPr="00CF4C8D" w:rsidRDefault="002C0575" w:rsidP="002C0575">
      <w:pPr>
        <w:spacing w:after="0"/>
      </w:pPr>
    </w:p>
    <w:p w14:paraId="15A3C04B" w14:textId="77777777" w:rsidR="002C0575" w:rsidRPr="00CF4C8D" w:rsidRDefault="002C0575" w:rsidP="002C0575">
      <w:pPr>
        <w:spacing w:after="0"/>
      </w:pPr>
      <w:r w:rsidRPr="00CF4C8D">
        <w:t>The following documents need to be submitted:</w:t>
      </w:r>
    </w:p>
    <w:p w14:paraId="4614C8A0" w14:textId="77777777" w:rsidR="002C0575" w:rsidRPr="00CF4C8D" w:rsidRDefault="002C0575" w:rsidP="002C0575">
      <w:pPr>
        <w:pStyle w:val="ListParagraph"/>
        <w:numPr>
          <w:ilvl w:val="0"/>
          <w:numId w:val="6"/>
        </w:numPr>
        <w:spacing w:after="0" w:line="240" w:lineRule="auto"/>
        <w:ind w:left="360"/>
        <w:contextualSpacing w:val="0"/>
        <w:jc w:val="both"/>
      </w:pPr>
      <w:r w:rsidRPr="00CF4C8D">
        <w:t>Proposal</w:t>
      </w:r>
    </w:p>
    <w:p w14:paraId="266171A0" w14:textId="77777777" w:rsidR="002C0575" w:rsidRPr="00CF4C8D" w:rsidRDefault="002C0575" w:rsidP="002C0575">
      <w:pPr>
        <w:pStyle w:val="ListParagraph"/>
        <w:numPr>
          <w:ilvl w:val="0"/>
          <w:numId w:val="6"/>
        </w:numPr>
        <w:spacing w:after="0" w:line="240" w:lineRule="auto"/>
        <w:ind w:left="360"/>
        <w:contextualSpacing w:val="0"/>
        <w:jc w:val="both"/>
      </w:pPr>
      <w:r w:rsidRPr="00CF4C8D">
        <w:t>Budget</w:t>
      </w:r>
    </w:p>
    <w:p w14:paraId="0350D641" w14:textId="77777777" w:rsidR="002C0575" w:rsidRPr="00CF4C8D" w:rsidRDefault="002C0575" w:rsidP="002C0575">
      <w:pPr>
        <w:pStyle w:val="ListParagraph"/>
        <w:numPr>
          <w:ilvl w:val="0"/>
          <w:numId w:val="6"/>
        </w:numPr>
        <w:spacing w:after="0" w:line="240" w:lineRule="auto"/>
        <w:ind w:left="360"/>
        <w:contextualSpacing w:val="0"/>
        <w:jc w:val="both"/>
      </w:pPr>
      <w:r w:rsidRPr="00CF4C8D">
        <w:t>Workplan</w:t>
      </w:r>
    </w:p>
    <w:p w14:paraId="4F3827E5" w14:textId="4CE4344B" w:rsidR="002C0575" w:rsidRDefault="00E16A52" w:rsidP="002C0575">
      <w:pPr>
        <w:pStyle w:val="ListParagraph"/>
        <w:numPr>
          <w:ilvl w:val="0"/>
          <w:numId w:val="6"/>
        </w:numPr>
        <w:spacing w:after="0" w:line="240" w:lineRule="auto"/>
        <w:ind w:left="360"/>
        <w:contextualSpacing w:val="0"/>
        <w:jc w:val="both"/>
      </w:pPr>
      <w:r>
        <w:t>Logframe</w:t>
      </w:r>
    </w:p>
    <w:p w14:paraId="71ED3FA8" w14:textId="5A132980" w:rsidR="00C92DC7" w:rsidRDefault="00C92DC7" w:rsidP="002C0575">
      <w:pPr>
        <w:pStyle w:val="ListParagraph"/>
        <w:numPr>
          <w:ilvl w:val="0"/>
          <w:numId w:val="6"/>
        </w:numPr>
        <w:spacing w:after="0" w:line="240" w:lineRule="auto"/>
        <w:ind w:left="360"/>
        <w:contextualSpacing w:val="0"/>
        <w:jc w:val="both"/>
      </w:pPr>
      <w:r>
        <w:t>Contingency plan</w:t>
      </w:r>
    </w:p>
    <w:p w14:paraId="385F6372" w14:textId="77777777" w:rsidR="002C0575" w:rsidRDefault="002C0575" w:rsidP="002C0575">
      <w:pPr>
        <w:pStyle w:val="ListParagraph"/>
        <w:spacing w:after="0"/>
        <w:ind w:left="360"/>
      </w:pPr>
    </w:p>
    <w:p w14:paraId="3E76E26F" w14:textId="77777777" w:rsidR="002C0575" w:rsidRPr="00CF4C8D" w:rsidRDefault="002C0575" w:rsidP="002C0575">
      <w:pPr>
        <w:pStyle w:val="Guidelines2"/>
      </w:pPr>
      <w:r w:rsidRPr="00CF4C8D">
        <w:t>Proposal content</w:t>
      </w:r>
    </w:p>
    <w:p w14:paraId="71D983E1" w14:textId="77777777" w:rsidR="002C0575" w:rsidRPr="00CF4C8D" w:rsidRDefault="002C0575" w:rsidP="002C0575">
      <w:pPr>
        <w:pStyle w:val="ListParagraph"/>
        <w:spacing w:after="0"/>
        <w:rPr>
          <w:rFonts w:cstheme="minorHAnsi"/>
        </w:rPr>
      </w:pPr>
    </w:p>
    <w:p w14:paraId="40A53A7C" w14:textId="77777777" w:rsidR="002C0575" w:rsidRPr="00CF4C8D" w:rsidRDefault="002C0575" w:rsidP="002C0575">
      <w:pPr>
        <w:pStyle w:val="ListParagraph"/>
        <w:numPr>
          <w:ilvl w:val="0"/>
          <w:numId w:val="11"/>
        </w:numPr>
        <w:spacing w:after="0" w:line="240" w:lineRule="auto"/>
        <w:ind w:left="360"/>
        <w:contextualSpacing w:val="0"/>
        <w:jc w:val="both"/>
        <w:rPr>
          <w:rFonts w:cstheme="minorHAnsi"/>
        </w:rPr>
      </w:pPr>
      <w:r w:rsidRPr="00CF4C8D">
        <w:rPr>
          <w:rFonts w:cstheme="minorHAnsi"/>
        </w:rPr>
        <w:t xml:space="preserve">Template for the proposal and the supporting document are attached </w:t>
      </w:r>
    </w:p>
    <w:p w14:paraId="1DC188AE" w14:textId="77777777" w:rsidR="002C0575" w:rsidRPr="00CF4C8D" w:rsidRDefault="002C0575" w:rsidP="002C0575">
      <w:pPr>
        <w:pStyle w:val="ListParagraph"/>
        <w:spacing w:after="0"/>
        <w:ind w:left="0"/>
        <w:rPr>
          <w:rFonts w:cstheme="minorHAnsi"/>
        </w:rPr>
      </w:pPr>
    </w:p>
    <w:p w14:paraId="24A548B0" w14:textId="77777777" w:rsidR="002C0575" w:rsidRPr="00CF4C8D" w:rsidRDefault="002C0575" w:rsidP="002C0575">
      <w:pPr>
        <w:pStyle w:val="Guidelines2"/>
      </w:pPr>
      <w:r w:rsidRPr="00CF4C8D">
        <w:t>Evaluation and selection of proposals</w:t>
      </w:r>
    </w:p>
    <w:p w14:paraId="73E25ABB" w14:textId="77777777" w:rsidR="002C0575" w:rsidRPr="00CF4C8D" w:rsidRDefault="002C0575" w:rsidP="002C0575">
      <w:pPr>
        <w:pStyle w:val="ListParagraph"/>
        <w:spacing w:after="0"/>
        <w:rPr>
          <w:rFonts w:cstheme="minorHAnsi"/>
        </w:rPr>
      </w:pPr>
    </w:p>
    <w:p w14:paraId="4DBFAD1F" w14:textId="7919531C" w:rsidR="002C0575" w:rsidRPr="00CF4C8D" w:rsidRDefault="002C0575" w:rsidP="002C0575">
      <w:pPr>
        <w:pStyle w:val="ListParagraph"/>
        <w:numPr>
          <w:ilvl w:val="0"/>
          <w:numId w:val="12"/>
        </w:numPr>
        <w:spacing w:after="0" w:line="240" w:lineRule="auto"/>
        <w:ind w:left="360"/>
        <w:contextualSpacing w:val="0"/>
        <w:jc w:val="both"/>
        <w:rPr>
          <w:rFonts w:cstheme="minorHAnsi"/>
        </w:rPr>
      </w:pPr>
      <w:r w:rsidRPr="00CF4C8D">
        <w:rPr>
          <w:rFonts w:cstheme="minorHAnsi"/>
        </w:rPr>
        <w:t xml:space="preserve">Each of the proposals will be evaluated by an evaluation committee composed of </w:t>
      </w:r>
      <w:r w:rsidR="00C92DC7">
        <w:rPr>
          <w:rFonts w:cstheme="minorHAnsi"/>
        </w:rPr>
        <w:t xml:space="preserve">Oxfam </w:t>
      </w:r>
      <w:r w:rsidR="00E16A52">
        <w:rPr>
          <w:rFonts w:cstheme="minorHAnsi"/>
        </w:rPr>
        <w:t>staff</w:t>
      </w:r>
      <w:r w:rsidR="0081517D">
        <w:rPr>
          <w:rFonts w:cstheme="minorHAnsi"/>
        </w:rPr>
        <w:t xml:space="preserve"> and </w:t>
      </w:r>
      <w:r w:rsidR="008F20D0">
        <w:rPr>
          <w:rFonts w:cstheme="minorHAnsi"/>
        </w:rPr>
        <w:t>Qorras</w:t>
      </w:r>
    </w:p>
    <w:p w14:paraId="4D615B66" w14:textId="6EF7CA05" w:rsidR="002C0575" w:rsidRDefault="002C0575" w:rsidP="002C0575">
      <w:pPr>
        <w:pStyle w:val="ListParagraph"/>
        <w:numPr>
          <w:ilvl w:val="0"/>
          <w:numId w:val="12"/>
        </w:numPr>
        <w:spacing w:after="0" w:line="240" w:lineRule="auto"/>
        <w:ind w:left="360"/>
        <w:contextualSpacing w:val="0"/>
        <w:jc w:val="both"/>
        <w:rPr>
          <w:rFonts w:cstheme="minorHAnsi"/>
        </w:rPr>
      </w:pPr>
      <w:r w:rsidRPr="00CF4C8D">
        <w:rPr>
          <w:rFonts w:cstheme="minorHAnsi"/>
        </w:rPr>
        <w:t xml:space="preserve">Each of the proposals will be evaluated </w:t>
      </w:r>
      <w:r>
        <w:rPr>
          <w:rFonts w:cstheme="minorHAnsi"/>
        </w:rPr>
        <w:t>using</w:t>
      </w:r>
      <w:r w:rsidRPr="00CF4C8D">
        <w:rPr>
          <w:rFonts w:cstheme="minorHAnsi"/>
        </w:rPr>
        <w:t xml:space="preserve"> the below evaluation grid</w:t>
      </w:r>
    </w:p>
    <w:p w14:paraId="330E13EF" w14:textId="77777777" w:rsidR="00C92DC7" w:rsidRDefault="00C92DC7" w:rsidP="00C92DC7">
      <w:pPr>
        <w:pStyle w:val="ListParagraph"/>
        <w:spacing w:after="0" w:line="240" w:lineRule="auto"/>
        <w:ind w:left="360"/>
        <w:contextualSpacing w:val="0"/>
        <w:jc w:val="both"/>
        <w:rPr>
          <w:rFonts w:cstheme="minorHAnsi"/>
        </w:rPr>
      </w:pPr>
    </w:p>
    <w:p w14:paraId="2AFC296E" w14:textId="77777777" w:rsidR="002C0575" w:rsidRPr="00D76A5D" w:rsidRDefault="002C0575" w:rsidP="002C0575">
      <w:pPr>
        <w:pStyle w:val="ListParagraph"/>
        <w:spacing w:after="0"/>
        <w:ind w:left="360"/>
        <w:rPr>
          <w:rFonts w:cstheme="minorHAnsi"/>
        </w:rPr>
      </w:pPr>
    </w:p>
    <w:tbl>
      <w:tblPr>
        <w:tblW w:w="9445" w:type="dxa"/>
        <w:tblLayout w:type="fixed"/>
        <w:tblLook w:val="01E0" w:firstRow="1" w:lastRow="1" w:firstColumn="1" w:lastColumn="1" w:noHBand="0" w:noVBand="0"/>
      </w:tblPr>
      <w:tblGrid>
        <w:gridCol w:w="7645"/>
        <w:gridCol w:w="1800"/>
      </w:tblGrid>
      <w:tr w:rsidR="002C0575" w:rsidRPr="00CF4C8D" w14:paraId="1B24B62A" w14:textId="77777777" w:rsidTr="2C607D2B">
        <w:trPr>
          <w:trHeight w:val="388"/>
        </w:trPr>
        <w:tc>
          <w:tcPr>
            <w:tcW w:w="7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CE1E7B" w14:textId="77777777" w:rsidR="002C0575" w:rsidRPr="00CF4C8D" w:rsidRDefault="002C0575" w:rsidP="006F5752">
            <w:pPr>
              <w:snapToGrid w:val="0"/>
              <w:spacing w:after="0"/>
              <w:rPr>
                <w:rFonts w:cstheme="minorHAnsi"/>
                <w:b/>
              </w:rPr>
            </w:pPr>
            <w:r w:rsidRPr="00CF4C8D">
              <w:rPr>
                <w:rFonts w:cstheme="minorHAnsi"/>
                <w:b/>
              </w:rPr>
              <w:t>Section</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40D07" w14:textId="77777777" w:rsidR="002C0575" w:rsidRPr="00CF4C8D" w:rsidRDefault="002C0575" w:rsidP="006F5752">
            <w:pPr>
              <w:snapToGrid w:val="0"/>
              <w:spacing w:after="0"/>
              <w:jc w:val="center"/>
              <w:rPr>
                <w:rFonts w:cstheme="minorHAnsi"/>
                <w:b/>
              </w:rPr>
            </w:pPr>
            <w:r w:rsidRPr="00CF4C8D">
              <w:rPr>
                <w:rFonts w:cstheme="minorHAnsi"/>
                <w:b/>
              </w:rPr>
              <w:t>Maximum Score</w:t>
            </w:r>
          </w:p>
        </w:tc>
      </w:tr>
      <w:tr w:rsidR="002C0575" w:rsidRPr="00CF4C8D" w14:paraId="5ACE2627" w14:textId="77777777" w:rsidTr="2C607D2B">
        <w:tc>
          <w:tcPr>
            <w:tcW w:w="764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A6D1CF5" w14:textId="77777777" w:rsidR="002C0575" w:rsidRPr="00CF4C8D" w:rsidRDefault="002C0575" w:rsidP="006F5752">
            <w:pPr>
              <w:snapToGrid w:val="0"/>
              <w:spacing w:after="0"/>
              <w:rPr>
                <w:rFonts w:cstheme="minorHAnsi"/>
                <w:b/>
              </w:rPr>
            </w:pPr>
            <w:r w:rsidRPr="00CF4C8D">
              <w:rPr>
                <w:rFonts w:cstheme="minorHAnsi"/>
                <w:b/>
              </w:rPr>
              <w:t>1. Relevance of the action</w:t>
            </w:r>
          </w:p>
        </w:tc>
        <w:tc>
          <w:tcPr>
            <w:tcW w:w="1800" w:type="dxa"/>
            <w:tcBorders>
              <w:top w:val="single" w:sz="4" w:space="0" w:color="auto"/>
              <w:left w:val="single" w:sz="4" w:space="0" w:color="auto"/>
              <w:bottom w:val="single" w:sz="4" w:space="0" w:color="auto"/>
              <w:right w:val="single" w:sz="4" w:space="0" w:color="auto"/>
            </w:tcBorders>
            <w:shd w:val="clear" w:color="auto" w:fill="92D050"/>
            <w:hideMark/>
          </w:tcPr>
          <w:p w14:paraId="76FCC994" w14:textId="77777777" w:rsidR="002C0575" w:rsidRPr="00CF4C8D" w:rsidRDefault="002C0575" w:rsidP="006F5752">
            <w:pPr>
              <w:snapToGrid w:val="0"/>
              <w:spacing w:after="0"/>
              <w:jc w:val="center"/>
              <w:rPr>
                <w:rFonts w:cstheme="minorHAnsi"/>
                <w:b/>
              </w:rPr>
            </w:pPr>
            <w:r w:rsidRPr="00CF4C8D">
              <w:rPr>
                <w:rFonts w:cstheme="minorHAnsi"/>
                <w:b/>
                <w:noProof/>
              </w:rPr>
              <w:t>20</w:t>
            </w:r>
          </w:p>
        </w:tc>
      </w:tr>
      <w:tr w:rsidR="002C0575" w:rsidRPr="00CF4C8D" w14:paraId="227467C6" w14:textId="77777777" w:rsidTr="2C607D2B">
        <w:trPr>
          <w:trHeight w:val="377"/>
        </w:trPr>
        <w:tc>
          <w:tcPr>
            <w:tcW w:w="7645" w:type="dxa"/>
            <w:tcBorders>
              <w:top w:val="single" w:sz="4" w:space="0" w:color="auto"/>
              <w:left w:val="single" w:sz="4" w:space="0" w:color="auto"/>
              <w:bottom w:val="single" w:sz="4" w:space="0" w:color="auto"/>
              <w:right w:val="single" w:sz="4" w:space="0" w:color="auto"/>
            </w:tcBorders>
            <w:hideMark/>
          </w:tcPr>
          <w:p w14:paraId="319A9BE2" w14:textId="2646273E" w:rsidR="002C0575" w:rsidRPr="00CF4C8D" w:rsidRDefault="002C0575" w:rsidP="006F5752">
            <w:pPr>
              <w:snapToGrid w:val="0"/>
              <w:spacing w:after="0"/>
              <w:rPr>
                <w:rFonts w:cstheme="minorHAnsi"/>
                <w:noProof/>
              </w:rPr>
            </w:pPr>
            <w:r w:rsidRPr="00CF4C8D">
              <w:rPr>
                <w:rFonts w:cstheme="minorHAnsi"/>
                <w:noProof/>
              </w:rPr>
              <w:t xml:space="preserve">1.1. How relevant is the proposal to the </w:t>
            </w:r>
            <w:r w:rsidR="00690DFD">
              <w:rPr>
                <w:rFonts w:cstheme="minorHAnsi"/>
                <w:noProof/>
              </w:rPr>
              <w:t>needs and priorities of the LGBTQ community?</w:t>
            </w:r>
            <w:r w:rsidRPr="00CF4C8D">
              <w:rPr>
                <w:rFonts w:cstheme="minorHAnsi"/>
                <w:noProof/>
              </w:rPr>
              <w:t xml:space="preserve"> </w:t>
            </w:r>
            <w:r w:rsidR="00EF73CF">
              <w:rPr>
                <w:rFonts w:cstheme="minorHAnsi"/>
                <w:noProof/>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135AEE4B" w14:textId="77777777" w:rsidR="002C0575" w:rsidRPr="00CF4C8D" w:rsidRDefault="002C0575" w:rsidP="006F5752">
            <w:pPr>
              <w:snapToGrid w:val="0"/>
              <w:spacing w:after="0"/>
              <w:jc w:val="center"/>
              <w:rPr>
                <w:rFonts w:cstheme="minorHAnsi"/>
                <w:u w:val="single"/>
              </w:rPr>
            </w:pPr>
            <w:r w:rsidRPr="00CF4C8D">
              <w:rPr>
                <w:rFonts w:cstheme="minorHAnsi"/>
                <w:noProof/>
              </w:rPr>
              <w:t>10</w:t>
            </w:r>
          </w:p>
        </w:tc>
      </w:tr>
      <w:tr w:rsidR="002C0575" w:rsidRPr="00CF4C8D" w14:paraId="775B280D" w14:textId="77777777" w:rsidTr="2C607D2B">
        <w:trPr>
          <w:trHeight w:val="377"/>
        </w:trPr>
        <w:tc>
          <w:tcPr>
            <w:tcW w:w="7645" w:type="dxa"/>
            <w:tcBorders>
              <w:top w:val="single" w:sz="4" w:space="0" w:color="auto"/>
              <w:left w:val="single" w:sz="4" w:space="0" w:color="auto"/>
              <w:bottom w:val="single" w:sz="4" w:space="0" w:color="auto"/>
              <w:right w:val="single" w:sz="4" w:space="0" w:color="auto"/>
            </w:tcBorders>
          </w:tcPr>
          <w:p w14:paraId="66BDD711" w14:textId="77777777" w:rsidR="002C0575" w:rsidRPr="00CF4C8D" w:rsidRDefault="002C0575" w:rsidP="006F5752">
            <w:pPr>
              <w:snapToGrid w:val="0"/>
              <w:spacing w:after="0"/>
              <w:rPr>
                <w:rFonts w:cstheme="minorHAnsi"/>
                <w:noProof/>
              </w:rPr>
            </w:pPr>
            <w:r w:rsidRPr="00CF4C8D">
              <w:rPr>
                <w:rFonts w:cstheme="minorHAnsi"/>
                <w:noProof/>
              </w:rPr>
              <w:t xml:space="preserve">1.2 Do the proposed actions match the technical expertise of the applicant CSOs? </w:t>
            </w:r>
          </w:p>
        </w:tc>
        <w:tc>
          <w:tcPr>
            <w:tcW w:w="1800" w:type="dxa"/>
            <w:tcBorders>
              <w:top w:val="single" w:sz="4" w:space="0" w:color="auto"/>
              <w:left w:val="single" w:sz="4" w:space="0" w:color="auto"/>
              <w:bottom w:val="single" w:sz="4" w:space="0" w:color="auto"/>
              <w:right w:val="single" w:sz="4" w:space="0" w:color="auto"/>
            </w:tcBorders>
          </w:tcPr>
          <w:p w14:paraId="1BF09399" w14:textId="77777777" w:rsidR="002C0575" w:rsidRPr="00CF4C8D" w:rsidRDefault="002C0575" w:rsidP="006F5752">
            <w:pPr>
              <w:snapToGrid w:val="0"/>
              <w:spacing w:after="0"/>
              <w:jc w:val="center"/>
              <w:rPr>
                <w:rFonts w:cstheme="minorHAnsi"/>
                <w:noProof/>
              </w:rPr>
            </w:pPr>
            <w:r w:rsidRPr="00CF4C8D">
              <w:rPr>
                <w:rFonts w:cstheme="minorHAnsi"/>
                <w:noProof/>
              </w:rPr>
              <w:t>10</w:t>
            </w:r>
          </w:p>
        </w:tc>
      </w:tr>
      <w:tr w:rsidR="002C0575" w:rsidRPr="00CF4C8D" w14:paraId="21E9C26C" w14:textId="77777777" w:rsidTr="2C607D2B">
        <w:tc>
          <w:tcPr>
            <w:tcW w:w="764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F1C61E5" w14:textId="77777777" w:rsidR="002C0575" w:rsidRPr="00CF4C8D" w:rsidRDefault="002C0575" w:rsidP="006F5752">
            <w:pPr>
              <w:snapToGrid w:val="0"/>
              <w:spacing w:after="0"/>
              <w:rPr>
                <w:rFonts w:cstheme="minorHAnsi"/>
                <w:b/>
              </w:rPr>
            </w:pPr>
            <w:r w:rsidRPr="00CF4C8D">
              <w:rPr>
                <w:rFonts w:cstheme="minorHAnsi"/>
                <w:b/>
              </w:rPr>
              <w:t xml:space="preserve">2. </w:t>
            </w:r>
            <w:r w:rsidRPr="00CF4C8D">
              <w:rPr>
                <w:rFonts w:cstheme="minorHAnsi"/>
                <w:b/>
                <w:noProof/>
              </w:rPr>
              <w:t>Design of the action</w:t>
            </w:r>
          </w:p>
        </w:tc>
        <w:tc>
          <w:tcPr>
            <w:tcW w:w="1800" w:type="dxa"/>
            <w:tcBorders>
              <w:top w:val="single" w:sz="4" w:space="0" w:color="auto"/>
              <w:left w:val="single" w:sz="4" w:space="0" w:color="auto"/>
              <w:bottom w:val="single" w:sz="4" w:space="0" w:color="auto"/>
              <w:right w:val="single" w:sz="4" w:space="0" w:color="auto"/>
            </w:tcBorders>
            <w:shd w:val="clear" w:color="auto" w:fill="92D050"/>
            <w:hideMark/>
          </w:tcPr>
          <w:p w14:paraId="7EE49309" w14:textId="77777777" w:rsidR="002C0575" w:rsidRPr="00CF4C8D" w:rsidRDefault="002C0575" w:rsidP="006F5752">
            <w:pPr>
              <w:snapToGrid w:val="0"/>
              <w:spacing w:after="0"/>
              <w:jc w:val="center"/>
              <w:rPr>
                <w:rFonts w:cstheme="minorHAnsi"/>
                <w:b/>
              </w:rPr>
            </w:pPr>
            <w:r w:rsidRPr="00CF4C8D">
              <w:rPr>
                <w:rFonts w:cstheme="minorHAnsi"/>
                <w:b/>
                <w:bCs/>
                <w:noProof/>
              </w:rPr>
              <w:t>20</w:t>
            </w:r>
          </w:p>
        </w:tc>
      </w:tr>
      <w:tr w:rsidR="002C0575" w:rsidRPr="00CF4C8D" w14:paraId="31DE1521" w14:textId="77777777" w:rsidTr="2C607D2B">
        <w:trPr>
          <w:trHeight w:val="285"/>
        </w:trPr>
        <w:tc>
          <w:tcPr>
            <w:tcW w:w="7645" w:type="dxa"/>
            <w:tcBorders>
              <w:top w:val="single" w:sz="4" w:space="0" w:color="auto"/>
              <w:left w:val="single" w:sz="4" w:space="0" w:color="auto"/>
              <w:bottom w:val="single" w:sz="4" w:space="0" w:color="auto"/>
              <w:right w:val="single" w:sz="4" w:space="0" w:color="auto"/>
            </w:tcBorders>
            <w:hideMark/>
          </w:tcPr>
          <w:p w14:paraId="1FD47058" w14:textId="0C1D1A82" w:rsidR="002C0575" w:rsidRPr="00CF4C8D" w:rsidRDefault="002C0575" w:rsidP="006F5752">
            <w:pPr>
              <w:snapToGrid w:val="0"/>
              <w:spacing w:after="0"/>
              <w:rPr>
                <w:rFonts w:cstheme="minorHAnsi"/>
              </w:rPr>
            </w:pPr>
            <w:r w:rsidRPr="00CF4C8D">
              <w:rPr>
                <w:rFonts w:cstheme="minorHAnsi"/>
                <w:noProof/>
              </w:rPr>
              <w:t xml:space="preserve">2.1. How coherent is the overall design of the proposal? In particular, does it reflect the </w:t>
            </w:r>
            <w:r w:rsidR="00A4161F">
              <w:rPr>
                <w:rFonts w:cstheme="minorHAnsi"/>
                <w:noProof/>
              </w:rPr>
              <w:t xml:space="preserve">needs of the LGBTQ community in light of the current economic crisis and </w:t>
            </w:r>
            <w:r w:rsidR="005411FF">
              <w:rPr>
                <w:rFonts w:cstheme="minorHAnsi"/>
                <w:noProof/>
              </w:rPr>
              <w:t>pandemic? Does it</w:t>
            </w:r>
            <w:r w:rsidRPr="00CF4C8D">
              <w:rPr>
                <w:rFonts w:cstheme="minorHAnsi"/>
                <w:noProof/>
              </w:rPr>
              <w:t xml:space="preserve"> take into account socio-legal structural factors</w:t>
            </w:r>
            <w:r w:rsidR="005411FF">
              <w:rPr>
                <w:rFonts w:cstheme="minorHAnsi"/>
                <w:noProof/>
              </w:rPr>
              <w:t xml:space="preserve"> specific to Lebanon?</w:t>
            </w:r>
          </w:p>
        </w:tc>
        <w:tc>
          <w:tcPr>
            <w:tcW w:w="1800" w:type="dxa"/>
            <w:tcBorders>
              <w:top w:val="single" w:sz="4" w:space="0" w:color="auto"/>
              <w:left w:val="single" w:sz="4" w:space="0" w:color="auto"/>
              <w:bottom w:val="single" w:sz="4" w:space="0" w:color="auto"/>
              <w:right w:val="single" w:sz="4" w:space="0" w:color="auto"/>
            </w:tcBorders>
            <w:hideMark/>
          </w:tcPr>
          <w:p w14:paraId="33E6A1E8" w14:textId="77777777" w:rsidR="002C0575" w:rsidRPr="00CF4C8D" w:rsidRDefault="002C0575" w:rsidP="006F5752">
            <w:pPr>
              <w:snapToGrid w:val="0"/>
              <w:spacing w:after="0"/>
              <w:jc w:val="center"/>
              <w:rPr>
                <w:rFonts w:cstheme="minorHAnsi"/>
                <w:u w:val="single"/>
              </w:rPr>
            </w:pPr>
            <w:r w:rsidRPr="00CF4C8D">
              <w:rPr>
                <w:rFonts w:cstheme="minorHAnsi"/>
                <w:noProof/>
              </w:rPr>
              <w:t>10</w:t>
            </w:r>
          </w:p>
        </w:tc>
      </w:tr>
      <w:tr w:rsidR="002C0575" w:rsidRPr="00CF4C8D" w14:paraId="1B67EAFD" w14:textId="77777777" w:rsidTr="2C607D2B">
        <w:trPr>
          <w:trHeight w:val="285"/>
        </w:trPr>
        <w:tc>
          <w:tcPr>
            <w:tcW w:w="7645" w:type="dxa"/>
            <w:tcBorders>
              <w:top w:val="single" w:sz="4" w:space="0" w:color="auto"/>
              <w:left w:val="single" w:sz="4" w:space="0" w:color="auto"/>
              <w:bottom w:val="single" w:sz="4" w:space="0" w:color="auto"/>
              <w:right w:val="single" w:sz="4" w:space="0" w:color="auto"/>
            </w:tcBorders>
            <w:hideMark/>
          </w:tcPr>
          <w:p w14:paraId="2FDD5048" w14:textId="148FF6B8" w:rsidR="002C0575" w:rsidRPr="00CF4C8D" w:rsidRDefault="004D37E8" w:rsidP="006F5752">
            <w:pPr>
              <w:snapToGrid w:val="0"/>
              <w:spacing w:after="0"/>
              <w:rPr>
                <w:rFonts w:cstheme="minorHAnsi"/>
              </w:rPr>
            </w:pPr>
            <w:r>
              <w:rPr>
                <w:rFonts w:cstheme="minorHAnsi"/>
                <w:noProof/>
              </w:rPr>
              <w:t>2.2. How does the action respond to the gaps in services available for the LGBTQ community in Lebanon? Does the action improve access to services for LGBTQ members who live in and outside Beirut?</w:t>
            </w:r>
          </w:p>
        </w:tc>
        <w:tc>
          <w:tcPr>
            <w:tcW w:w="1800" w:type="dxa"/>
            <w:tcBorders>
              <w:top w:val="single" w:sz="4" w:space="0" w:color="auto"/>
              <w:left w:val="single" w:sz="4" w:space="0" w:color="auto"/>
              <w:bottom w:val="single" w:sz="4" w:space="0" w:color="auto"/>
              <w:right w:val="single" w:sz="4" w:space="0" w:color="auto"/>
            </w:tcBorders>
            <w:hideMark/>
          </w:tcPr>
          <w:p w14:paraId="585DA3F6" w14:textId="77777777" w:rsidR="002C0575" w:rsidRPr="00CF4C8D" w:rsidRDefault="002C0575" w:rsidP="006F5752">
            <w:pPr>
              <w:snapToGrid w:val="0"/>
              <w:spacing w:after="0"/>
              <w:jc w:val="center"/>
              <w:rPr>
                <w:rFonts w:cstheme="minorHAnsi"/>
                <w:u w:val="single"/>
              </w:rPr>
            </w:pPr>
            <w:r w:rsidRPr="00CF4C8D">
              <w:rPr>
                <w:rFonts w:cstheme="minorHAnsi"/>
                <w:noProof/>
              </w:rPr>
              <w:t>10</w:t>
            </w:r>
          </w:p>
        </w:tc>
      </w:tr>
      <w:tr w:rsidR="002C0575" w:rsidRPr="00CF4C8D" w14:paraId="552BD211" w14:textId="77777777" w:rsidTr="2C607D2B">
        <w:trPr>
          <w:trHeight w:val="285"/>
        </w:trPr>
        <w:tc>
          <w:tcPr>
            <w:tcW w:w="7645" w:type="dxa"/>
            <w:tcBorders>
              <w:top w:val="single" w:sz="4" w:space="0" w:color="auto"/>
              <w:left w:val="single" w:sz="4" w:space="0" w:color="auto"/>
              <w:bottom w:val="single" w:sz="4" w:space="0" w:color="auto"/>
              <w:right w:val="single" w:sz="4" w:space="0" w:color="auto"/>
            </w:tcBorders>
            <w:shd w:val="clear" w:color="auto" w:fill="92D050"/>
            <w:vAlign w:val="center"/>
          </w:tcPr>
          <w:p w14:paraId="7CAE9E7C" w14:textId="77777777" w:rsidR="002C0575" w:rsidRPr="00CF4C8D" w:rsidRDefault="002C0575" w:rsidP="006F5752">
            <w:pPr>
              <w:spacing w:after="0"/>
              <w:rPr>
                <w:rFonts w:cstheme="minorHAnsi"/>
                <w:b/>
                <w:bCs/>
              </w:rPr>
            </w:pPr>
            <w:r w:rsidRPr="00CF4C8D">
              <w:rPr>
                <w:rFonts w:cstheme="minorHAnsi"/>
                <w:b/>
                <w:bCs/>
              </w:rPr>
              <w:t>3. Feasibility of Implementation</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14:paraId="5202EC30" w14:textId="5BADA6BB" w:rsidR="002C0575" w:rsidRPr="00CF4C8D" w:rsidRDefault="008F20D0" w:rsidP="006F5752">
            <w:pPr>
              <w:spacing w:after="0"/>
              <w:jc w:val="center"/>
              <w:rPr>
                <w:rFonts w:cstheme="minorHAnsi"/>
                <w:b/>
                <w:bCs/>
              </w:rPr>
            </w:pPr>
            <w:r>
              <w:rPr>
                <w:rFonts w:cstheme="minorHAnsi"/>
                <w:b/>
                <w:bCs/>
              </w:rPr>
              <w:t>3</w:t>
            </w:r>
            <w:r w:rsidR="002C0575" w:rsidRPr="00CF4C8D">
              <w:rPr>
                <w:rFonts w:cstheme="minorHAnsi"/>
                <w:b/>
                <w:bCs/>
              </w:rPr>
              <w:t>0</w:t>
            </w:r>
          </w:p>
        </w:tc>
      </w:tr>
      <w:tr w:rsidR="002C0575" w:rsidRPr="00CF4C8D" w14:paraId="2229B530" w14:textId="77777777" w:rsidTr="2C607D2B">
        <w:trPr>
          <w:trHeight w:val="28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0D26ADD8" w14:textId="5B965660" w:rsidR="002C0575" w:rsidRPr="00CF4C8D" w:rsidRDefault="002C0575" w:rsidP="006F5752">
            <w:pPr>
              <w:spacing w:after="0"/>
              <w:rPr>
                <w:rFonts w:cstheme="minorHAnsi"/>
                <w:bCs/>
              </w:rPr>
            </w:pPr>
            <w:r w:rsidRPr="00CF4C8D">
              <w:rPr>
                <w:rFonts w:cstheme="minorHAnsi"/>
                <w:bCs/>
              </w:rPr>
              <w:t>3.1. Is the implementation of the activities</w:t>
            </w:r>
            <w:r w:rsidR="00F06C5A">
              <w:rPr>
                <w:rFonts w:cstheme="minorHAnsi"/>
                <w:bCs/>
              </w:rPr>
              <w:t xml:space="preserve"> </w:t>
            </w:r>
            <w:r w:rsidRPr="00CF4C8D">
              <w:rPr>
                <w:rFonts w:cstheme="minorHAnsi"/>
                <w:bCs/>
              </w:rPr>
              <w:t>doable within the time frame of the project (</w:t>
            </w:r>
            <w:r w:rsidR="004D37E8">
              <w:rPr>
                <w:rFonts w:cstheme="minorHAnsi"/>
                <w:bCs/>
              </w:rPr>
              <w:t>12</w:t>
            </w:r>
            <w:r w:rsidRPr="00CF4C8D">
              <w:rPr>
                <w:rFonts w:cstheme="minorHAnsi"/>
                <w:bCs/>
              </w:rPr>
              <w:t xml:space="preserve"> months </w:t>
            </w:r>
            <w:r>
              <w:rPr>
                <w:rFonts w:cstheme="minorHAnsi"/>
                <w:bCs/>
              </w:rPr>
              <w:t xml:space="preserve">from </w:t>
            </w:r>
            <w:r w:rsidR="004D37E8">
              <w:rPr>
                <w:rFonts w:cstheme="minorHAnsi"/>
                <w:bCs/>
              </w:rPr>
              <w:t>end of September</w:t>
            </w:r>
            <w:r w:rsidRPr="00CF4C8D">
              <w:rPr>
                <w:rFonts w:cstheme="minorHAnsi"/>
                <w:bCs/>
              </w:rPr>
              <w:t xml:space="preserve"> 20</w:t>
            </w:r>
            <w:r w:rsidR="004D37E8">
              <w:rPr>
                <w:rFonts w:cstheme="minorHAnsi"/>
                <w:bCs/>
              </w:rPr>
              <w:t>20</w:t>
            </w:r>
            <w:r w:rsidRPr="00CF4C8D">
              <w:rPr>
                <w:rFonts w:cstheme="minorHAnsi"/>
                <w:bCs/>
              </w:rPr>
              <w:t xml:space="preserve"> till </w:t>
            </w:r>
            <w:r w:rsidR="004D37E8">
              <w:rPr>
                <w:rFonts w:cstheme="minorHAnsi"/>
                <w:bCs/>
              </w:rPr>
              <w:t>September 2021</w:t>
            </w:r>
            <w:r w:rsidRPr="00CF4C8D">
              <w:rPr>
                <w:rFonts w:cstheme="minorHAnsi"/>
                <w:bCs/>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FE7FEE1" w14:textId="77777777" w:rsidR="002C0575" w:rsidRPr="00CF4C8D" w:rsidRDefault="002C0575" w:rsidP="006F5752">
            <w:pPr>
              <w:spacing w:after="0"/>
              <w:jc w:val="center"/>
              <w:rPr>
                <w:rFonts w:cstheme="minorHAnsi"/>
                <w:b/>
                <w:noProof/>
              </w:rPr>
            </w:pPr>
            <w:r w:rsidRPr="00CF4C8D">
              <w:rPr>
                <w:rFonts w:cstheme="minorHAnsi"/>
                <w:noProof/>
              </w:rPr>
              <w:t>10</w:t>
            </w:r>
          </w:p>
        </w:tc>
      </w:tr>
      <w:tr w:rsidR="002C0575" w:rsidRPr="00CF4C8D" w14:paraId="6692446B" w14:textId="77777777" w:rsidTr="2C607D2B">
        <w:trPr>
          <w:trHeight w:val="28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3518B5CD" w14:textId="77777777" w:rsidR="002C0575" w:rsidRPr="00CF4C8D" w:rsidRDefault="002C0575" w:rsidP="006F5752">
            <w:pPr>
              <w:spacing w:after="0"/>
              <w:rPr>
                <w:rFonts w:cstheme="minorHAnsi"/>
                <w:bCs/>
              </w:rPr>
            </w:pPr>
            <w:r w:rsidRPr="00CF4C8D">
              <w:rPr>
                <w:rFonts w:cstheme="minorHAnsi"/>
                <w:bCs/>
              </w:rPr>
              <w:t>3.2. Is the explanation of the main activities and expected results clearly outlined?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033844" w14:textId="77777777" w:rsidR="002C0575" w:rsidRPr="00CF4C8D" w:rsidRDefault="002C0575" w:rsidP="006F5752">
            <w:pPr>
              <w:spacing w:after="0"/>
              <w:jc w:val="center"/>
              <w:rPr>
                <w:rFonts w:cstheme="minorHAnsi"/>
                <w:b/>
                <w:noProof/>
              </w:rPr>
            </w:pPr>
            <w:r w:rsidRPr="00CF4C8D">
              <w:rPr>
                <w:rFonts w:cstheme="minorHAnsi"/>
                <w:noProof/>
              </w:rPr>
              <w:t>10</w:t>
            </w:r>
          </w:p>
        </w:tc>
      </w:tr>
      <w:tr w:rsidR="008F20D0" w:rsidRPr="00CF4C8D" w14:paraId="671595FD" w14:textId="77777777" w:rsidTr="2C607D2B">
        <w:trPr>
          <w:trHeight w:val="28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6D953F95" w14:textId="77777777" w:rsidR="00EA1749" w:rsidRDefault="002A2E7B" w:rsidP="002A2E7B">
            <w:pPr>
              <w:pStyle w:val="ListParagraph"/>
              <w:numPr>
                <w:ilvl w:val="1"/>
                <w:numId w:val="4"/>
              </w:numPr>
              <w:spacing w:after="0"/>
              <w:rPr>
                <w:rFonts w:cstheme="minorHAnsi"/>
                <w:bCs/>
              </w:rPr>
            </w:pPr>
            <w:r>
              <w:rPr>
                <w:rFonts w:cstheme="minorHAnsi"/>
                <w:bCs/>
              </w:rPr>
              <w:t>Is the budgeting cost-effective and aligned with the budget instructions</w:t>
            </w:r>
            <w:r w:rsidR="00EA1749">
              <w:rPr>
                <w:rFonts w:cstheme="minorHAnsi"/>
                <w:bCs/>
              </w:rPr>
              <w:t xml:space="preserve"> </w:t>
            </w:r>
          </w:p>
          <w:p w14:paraId="2A69DC42" w14:textId="1AC408E0" w:rsidR="008F20D0" w:rsidRPr="00EA1749" w:rsidRDefault="002A2E7B" w:rsidP="00EA1749">
            <w:pPr>
              <w:spacing w:after="0"/>
              <w:rPr>
                <w:rFonts w:cstheme="minorHAnsi"/>
                <w:bCs/>
              </w:rPr>
            </w:pPr>
            <w:r w:rsidRPr="00EA1749">
              <w:rPr>
                <w:rFonts w:cstheme="minorHAnsi"/>
                <w:bCs/>
              </w:rPr>
              <w:t>mentioned above?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338F84" w14:textId="13B7EE75" w:rsidR="008F20D0" w:rsidRPr="00CF4C8D" w:rsidRDefault="008F20D0" w:rsidP="006F5752">
            <w:pPr>
              <w:spacing w:after="0"/>
              <w:jc w:val="center"/>
              <w:rPr>
                <w:rFonts w:cstheme="minorHAnsi"/>
                <w:noProof/>
              </w:rPr>
            </w:pPr>
            <w:r>
              <w:rPr>
                <w:rFonts w:cstheme="minorHAnsi"/>
                <w:noProof/>
              </w:rPr>
              <w:t>10</w:t>
            </w:r>
          </w:p>
        </w:tc>
      </w:tr>
      <w:tr w:rsidR="002C0575" w:rsidRPr="00CF4C8D" w14:paraId="762CE36E" w14:textId="77777777" w:rsidTr="2C607D2B">
        <w:trPr>
          <w:trHeight w:val="285"/>
        </w:trPr>
        <w:tc>
          <w:tcPr>
            <w:tcW w:w="7645" w:type="dxa"/>
            <w:tcBorders>
              <w:top w:val="single" w:sz="4" w:space="0" w:color="auto"/>
              <w:left w:val="single" w:sz="4" w:space="0" w:color="auto"/>
              <w:bottom w:val="single" w:sz="4" w:space="0" w:color="auto"/>
              <w:right w:val="single" w:sz="4" w:space="0" w:color="auto"/>
            </w:tcBorders>
            <w:shd w:val="clear" w:color="auto" w:fill="92D050"/>
            <w:vAlign w:val="center"/>
          </w:tcPr>
          <w:p w14:paraId="1A3D9CB9" w14:textId="137BDD84" w:rsidR="002C0575" w:rsidRPr="00CF4C8D" w:rsidRDefault="008F20D0" w:rsidP="006F5752">
            <w:pPr>
              <w:spacing w:after="0"/>
              <w:rPr>
                <w:rFonts w:cstheme="minorHAnsi"/>
                <w:b/>
              </w:rPr>
            </w:pPr>
            <w:r>
              <w:rPr>
                <w:rFonts w:cstheme="minorHAnsi"/>
                <w:b/>
              </w:rPr>
              <w:t>4</w:t>
            </w:r>
            <w:r w:rsidR="002C0575" w:rsidRPr="00CF4C8D">
              <w:rPr>
                <w:rFonts w:cstheme="minorHAnsi"/>
                <w:b/>
              </w:rPr>
              <w:t>. Continuity and sustainability</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14:paraId="48B22B1D" w14:textId="77777777" w:rsidR="002C0575" w:rsidRPr="00CF4C8D" w:rsidRDefault="002C0575" w:rsidP="006F5752">
            <w:pPr>
              <w:spacing w:after="0"/>
              <w:jc w:val="center"/>
              <w:rPr>
                <w:rFonts w:cstheme="minorHAnsi"/>
                <w:b/>
                <w:noProof/>
              </w:rPr>
            </w:pPr>
            <w:r w:rsidRPr="00CF4C8D">
              <w:rPr>
                <w:rFonts w:cstheme="minorHAnsi"/>
                <w:b/>
                <w:noProof/>
              </w:rPr>
              <w:t>20</w:t>
            </w:r>
          </w:p>
        </w:tc>
      </w:tr>
      <w:tr w:rsidR="002C0575" w:rsidRPr="00CF4C8D" w14:paraId="559AB336" w14:textId="77777777" w:rsidTr="2C607D2B">
        <w:trPr>
          <w:trHeight w:val="28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534DAB72" w14:textId="68BDEB54" w:rsidR="000A2178" w:rsidRDefault="008F20D0" w:rsidP="006F5752">
            <w:pPr>
              <w:spacing w:after="0"/>
              <w:contextualSpacing/>
              <w:rPr>
                <w:rFonts w:cstheme="minorHAnsi"/>
              </w:rPr>
            </w:pPr>
            <w:r>
              <w:rPr>
                <w:rFonts w:cstheme="minorHAnsi"/>
              </w:rPr>
              <w:t>4</w:t>
            </w:r>
            <w:r w:rsidR="002C0575" w:rsidRPr="00CF4C8D">
              <w:rPr>
                <w:rFonts w:cstheme="minorHAnsi"/>
              </w:rPr>
              <w:t xml:space="preserve">.1. Does the proposal explain </w:t>
            </w:r>
            <w:r w:rsidR="000A2178">
              <w:rPr>
                <w:rFonts w:cstheme="minorHAnsi"/>
              </w:rPr>
              <w:t>the sustainability of the proposed action:</w:t>
            </w:r>
          </w:p>
          <w:p w14:paraId="50451252" w14:textId="13879E40" w:rsidR="000A2178" w:rsidRDefault="000A2178" w:rsidP="006F5752">
            <w:pPr>
              <w:spacing w:after="0"/>
              <w:contextualSpacing/>
              <w:rPr>
                <w:rFonts w:cstheme="minorHAnsi"/>
              </w:rPr>
            </w:pPr>
            <w:r>
              <w:rPr>
                <w:rFonts w:cstheme="minorHAnsi"/>
              </w:rPr>
              <w:t>- If it is not a new idea: how</w:t>
            </w:r>
            <w:r w:rsidR="00EF73A7">
              <w:rPr>
                <w:rFonts w:cstheme="minorHAnsi"/>
              </w:rPr>
              <w:t xml:space="preserve"> does it build on</w:t>
            </w:r>
            <w:r>
              <w:rPr>
                <w:rFonts w:cstheme="minorHAnsi"/>
              </w:rPr>
              <w:t xml:space="preserve"> </w:t>
            </w:r>
            <w:r w:rsidR="00EF73A7">
              <w:rPr>
                <w:rFonts w:cstheme="minorHAnsi"/>
              </w:rPr>
              <w:t>previous</w:t>
            </w:r>
            <w:r>
              <w:rPr>
                <w:rFonts w:cstheme="minorHAnsi"/>
              </w:rPr>
              <w:t xml:space="preserve"> work</w:t>
            </w:r>
            <w:r w:rsidR="00EF73A7">
              <w:rPr>
                <w:rFonts w:cstheme="minorHAnsi"/>
              </w:rPr>
              <w:t>?</w:t>
            </w:r>
          </w:p>
          <w:p w14:paraId="331DE261" w14:textId="7BDB482B" w:rsidR="002C0575" w:rsidRPr="00CF4C8D" w:rsidRDefault="000A2178" w:rsidP="006F5752">
            <w:pPr>
              <w:spacing w:after="0"/>
              <w:contextualSpacing/>
              <w:rPr>
                <w:rFonts w:cstheme="minorHAnsi"/>
              </w:rPr>
            </w:pPr>
            <w:r>
              <w:rPr>
                <w:rFonts w:cstheme="minorHAnsi"/>
              </w:rPr>
              <w:t>- If it is a new idea: what are the prospects for its sustainability</w:t>
            </w:r>
            <w:r w:rsidR="00EF73A7">
              <w:rPr>
                <w:rFonts w:cstheme="minorHAnsi"/>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8280FA" w14:textId="77777777" w:rsidR="002C0575" w:rsidRPr="00CF4C8D" w:rsidRDefault="002C0575" w:rsidP="006F5752">
            <w:pPr>
              <w:spacing w:after="0"/>
              <w:jc w:val="center"/>
              <w:rPr>
                <w:rFonts w:cstheme="minorHAnsi"/>
                <w:b/>
                <w:noProof/>
              </w:rPr>
            </w:pPr>
            <w:r w:rsidRPr="00CF4C8D">
              <w:rPr>
                <w:rFonts w:cstheme="minorHAnsi"/>
                <w:b/>
                <w:noProof/>
              </w:rPr>
              <w:t>10</w:t>
            </w:r>
          </w:p>
        </w:tc>
      </w:tr>
      <w:tr w:rsidR="002C0575" w:rsidRPr="00CF4C8D" w14:paraId="4C5B3737" w14:textId="77777777" w:rsidTr="2C607D2B">
        <w:trPr>
          <w:trHeight w:val="28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2ADA07E5" w14:textId="0896828B" w:rsidR="002C0575" w:rsidRPr="00CF4C8D" w:rsidRDefault="008F20D0" w:rsidP="006F5752">
            <w:pPr>
              <w:spacing w:after="0"/>
              <w:contextualSpacing/>
              <w:rPr>
                <w:rFonts w:cstheme="minorHAnsi"/>
              </w:rPr>
            </w:pPr>
            <w:r>
              <w:rPr>
                <w:rFonts w:cstheme="minorHAnsi"/>
              </w:rPr>
              <w:t>4</w:t>
            </w:r>
            <w:r w:rsidR="002C0575" w:rsidRPr="00CF4C8D">
              <w:rPr>
                <w:rFonts w:cstheme="minorHAnsi"/>
              </w:rPr>
              <w:t xml:space="preserve">.2. Does the proposal clearly describe </w:t>
            </w:r>
            <w:r w:rsidR="005411FF">
              <w:rPr>
                <w:rFonts w:cstheme="minorHAnsi"/>
              </w:rPr>
              <w:t>expected risks, mitigation and contingency measures? Does the proposal ha</w:t>
            </w:r>
            <w:r w:rsidR="00EF73A7">
              <w:rPr>
                <w:rFonts w:cstheme="minorHAnsi"/>
              </w:rPr>
              <w:t>ve</w:t>
            </w:r>
            <w:r w:rsidR="005411FF">
              <w:rPr>
                <w:rFonts w:cstheme="minorHAnsi"/>
              </w:rPr>
              <w:t xml:space="preserve"> a clear plan that accounts for disruptions of service delivery (for example in cases of a complete lockdown or partial access)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96D978A" w14:textId="77777777" w:rsidR="002C0575" w:rsidRPr="00CF4C8D" w:rsidRDefault="002C0575" w:rsidP="006F5752">
            <w:pPr>
              <w:spacing w:after="0"/>
              <w:jc w:val="center"/>
              <w:rPr>
                <w:rFonts w:cstheme="minorHAnsi"/>
                <w:b/>
                <w:noProof/>
              </w:rPr>
            </w:pPr>
            <w:r w:rsidRPr="00CF4C8D">
              <w:rPr>
                <w:rFonts w:cstheme="minorHAnsi"/>
                <w:b/>
                <w:noProof/>
              </w:rPr>
              <w:t>10</w:t>
            </w:r>
          </w:p>
        </w:tc>
      </w:tr>
      <w:tr w:rsidR="002C0575" w:rsidRPr="00CF4C8D" w14:paraId="726CBC0C" w14:textId="77777777" w:rsidTr="2C607D2B">
        <w:trPr>
          <w:trHeight w:val="285"/>
        </w:trPr>
        <w:tc>
          <w:tcPr>
            <w:tcW w:w="7645" w:type="dxa"/>
            <w:tcBorders>
              <w:top w:val="single" w:sz="4" w:space="0" w:color="auto"/>
              <w:left w:val="single" w:sz="4" w:space="0" w:color="auto"/>
              <w:bottom w:val="single" w:sz="4" w:space="0" w:color="auto"/>
              <w:right w:val="single" w:sz="4" w:space="0" w:color="auto"/>
            </w:tcBorders>
            <w:shd w:val="clear" w:color="auto" w:fill="92D050"/>
            <w:vAlign w:val="center"/>
          </w:tcPr>
          <w:p w14:paraId="626207A7" w14:textId="4D89FCDB" w:rsidR="002C0575" w:rsidRPr="00CF4C8D" w:rsidRDefault="008F20D0" w:rsidP="006F5752">
            <w:pPr>
              <w:spacing w:after="0"/>
              <w:contextualSpacing/>
              <w:rPr>
                <w:rFonts w:cstheme="minorHAnsi"/>
                <w:b/>
                <w:bCs/>
              </w:rPr>
            </w:pPr>
            <w:r>
              <w:rPr>
                <w:rFonts w:cstheme="minorHAnsi"/>
                <w:b/>
                <w:bCs/>
              </w:rPr>
              <w:t>5</w:t>
            </w:r>
            <w:r w:rsidR="002C0575" w:rsidRPr="00CF4C8D">
              <w:rPr>
                <w:rFonts w:cstheme="minorHAnsi"/>
                <w:b/>
                <w:bCs/>
              </w:rPr>
              <w:t>. Ingenuity</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14:paraId="65CC873A" w14:textId="77777777" w:rsidR="002C0575" w:rsidRPr="00CF4C8D" w:rsidRDefault="002C0575" w:rsidP="006F5752">
            <w:pPr>
              <w:spacing w:after="0"/>
              <w:jc w:val="center"/>
              <w:rPr>
                <w:rFonts w:cstheme="minorHAnsi"/>
                <w:b/>
                <w:noProof/>
              </w:rPr>
            </w:pPr>
            <w:r w:rsidRPr="00CF4C8D">
              <w:rPr>
                <w:rFonts w:cstheme="minorHAnsi"/>
                <w:b/>
                <w:noProof/>
              </w:rPr>
              <w:t>10</w:t>
            </w:r>
          </w:p>
        </w:tc>
      </w:tr>
      <w:tr w:rsidR="002C0575" w:rsidRPr="00CF4C8D" w14:paraId="7133883A" w14:textId="77777777" w:rsidTr="2C607D2B">
        <w:trPr>
          <w:trHeight w:val="28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5076FB7D" w14:textId="09779333" w:rsidR="002C0575" w:rsidRPr="00CF4C8D" w:rsidRDefault="008F20D0" w:rsidP="2C607D2B">
            <w:pPr>
              <w:spacing w:after="0"/>
              <w:contextualSpacing/>
            </w:pPr>
            <w:r>
              <w:t>5</w:t>
            </w:r>
            <w:r w:rsidR="2C607D2B" w:rsidRPr="2C607D2B">
              <w:t>.1. Is the proposal designed in a creative and innovative approach?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9AD03C" w14:textId="77777777" w:rsidR="002C0575" w:rsidRPr="00CF4C8D" w:rsidRDefault="002C0575" w:rsidP="006F5752">
            <w:pPr>
              <w:spacing w:after="0"/>
              <w:jc w:val="center"/>
              <w:rPr>
                <w:rFonts w:cstheme="minorHAnsi"/>
                <w:b/>
                <w:noProof/>
              </w:rPr>
            </w:pPr>
            <w:r w:rsidRPr="00CF4C8D">
              <w:rPr>
                <w:rFonts w:cstheme="minorHAnsi"/>
                <w:b/>
                <w:noProof/>
              </w:rPr>
              <w:t>10</w:t>
            </w:r>
          </w:p>
        </w:tc>
      </w:tr>
      <w:tr w:rsidR="002C0575" w:rsidRPr="00CF4C8D" w14:paraId="3BBA95A4" w14:textId="77777777" w:rsidTr="2C607D2B">
        <w:trPr>
          <w:trHeight w:val="285"/>
        </w:trPr>
        <w:tc>
          <w:tcPr>
            <w:tcW w:w="7645" w:type="dxa"/>
            <w:tcBorders>
              <w:top w:val="single" w:sz="4" w:space="0" w:color="auto"/>
              <w:left w:val="single" w:sz="4" w:space="0" w:color="auto"/>
              <w:bottom w:val="single" w:sz="4" w:space="0" w:color="auto"/>
              <w:right w:val="single" w:sz="4" w:space="0" w:color="auto"/>
            </w:tcBorders>
            <w:shd w:val="clear" w:color="auto" w:fill="92D050"/>
            <w:vAlign w:val="center"/>
          </w:tcPr>
          <w:p w14:paraId="60FE11C7" w14:textId="77777777" w:rsidR="002C0575" w:rsidRPr="00CF4C8D" w:rsidRDefault="002C0575" w:rsidP="006F5752">
            <w:pPr>
              <w:spacing w:after="0"/>
              <w:contextualSpacing/>
              <w:rPr>
                <w:rFonts w:cstheme="minorHAnsi"/>
                <w:b/>
                <w:bCs/>
              </w:rPr>
            </w:pPr>
            <w:r w:rsidRPr="00CF4C8D">
              <w:rPr>
                <w:rFonts w:cstheme="minorHAnsi"/>
                <w:b/>
                <w:bCs/>
              </w:rPr>
              <w:t>Total Score</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14:paraId="0DFCF11D" w14:textId="77777777" w:rsidR="002C0575" w:rsidRPr="00CF4C8D" w:rsidRDefault="002C0575" w:rsidP="006F5752">
            <w:pPr>
              <w:spacing w:after="0"/>
              <w:jc w:val="center"/>
              <w:rPr>
                <w:rFonts w:cstheme="minorHAnsi"/>
                <w:b/>
                <w:noProof/>
              </w:rPr>
            </w:pPr>
            <w:r w:rsidRPr="00CF4C8D">
              <w:rPr>
                <w:rFonts w:cstheme="minorHAnsi"/>
                <w:b/>
                <w:noProof/>
              </w:rPr>
              <w:t>100</w:t>
            </w:r>
          </w:p>
        </w:tc>
      </w:tr>
    </w:tbl>
    <w:p w14:paraId="000B7F96" w14:textId="77777777" w:rsidR="002C0575" w:rsidRPr="00CF4C8D" w:rsidRDefault="002C0575" w:rsidP="002C0575">
      <w:pPr>
        <w:pStyle w:val="ListParagraph"/>
        <w:spacing w:after="0"/>
        <w:ind w:left="0"/>
        <w:rPr>
          <w:rFonts w:cstheme="minorHAnsi"/>
        </w:rPr>
      </w:pPr>
    </w:p>
    <w:p w14:paraId="542A4A26" w14:textId="50FD58CD" w:rsidR="002C0575" w:rsidRPr="009C71C9" w:rsidRDefault="002C0575" w:rsidP="002C0575">
      <w:pPr>
        <w:pStyle w:val="ListParagraph"/>
        <w:numPr>
          <w:ilvl w:val="0"/>
          <w:numId w:val="5"/>
        </w:numPr>
        <w:spacing w:after="0" w:line="240" w:lineRule="auto"/>
        <w:ind w:left="360"/>
        <w:contextualSpacing w:val="0"/>
        <w:jc w:val="both"/>
        <w:rPr>
          <w:rFonts w:cstheme="minorHAnsi"/>
        </w:rPr>
      </w:pPr>
      <w:r w:rsidRPr="00CF4C8D">
        <w:rPr>
          <w:rFonts w:cstheme="minorHAnsi"/>
        </w:rPr>
        <w:t xml:space="preserve">Proposals with a score lower than </w:t>
      </w:r>
      <w:r w:rsidR="00A76C41">
        <w:rPr>
          <w:rFonts w:cstheme="minorHAnsi"/>
          <w:b/>
          <w:bCs/>
          <w:u w:val="single"/>
        </w:rPr>
        <w:t>70</w:t>
      </w:r>
      <w:r w:rsidR="00A76C41" w:rsidRPr="00CF4C8D">
        <w:rPr>
          <w:rFonts w:cstheme="minorHAnsi"/>
          <w:b/>
          <w:bCs/>
          <w:u w:val="single"/>
        </w:rPr>
        <w:t xml:space="preserve"> </w:t>
      </w:r>
      <w:r w:rsidRPr="00CF4C8D">
        <w:rPr>
          <w:rFonts w:cstheme="minorHAnsi"/>
          <w:b/>
          <w:bCs/>
          <w:u w:val="single"/>
        </w:rPr>
        <w:t>will be rejected</w:t>
      </w:r>
    </w:p>
    <w:p w14:paraId="756B7788" w14:textId="11D0582D" w:rsidR="002C0575" w:rsidRPr="00D76A5D" w:rsidRDefault="002C0575" w:rsidP="002C0575">
      <w:pPr>
        <w:pStyle w:val="ListParagraph"/>
        <w:numPr>
          <w:ilvl w:val="0"/>
          <w:numId w:val="5"/>
        </w:numPr>
        <w:spacing w:after="0" w:line="240" w:lineRule="auto"/>
        <w:ind w:left="360"/>
        <w:contextualSpacing w:val="0"/>
        <w:jc w:val="both"/>
        <w:rPr>
          <w:rFonts w:cstheme="minorHAnsi"/>
        </w:rPr>
      </w:pPr>
      <w:r w:rsidRPr="00D76A5D">
        <w:rPr>
          <w:rFonts w:cstheme="minorHAnsi"/>
        </w:rPr>
        <w:t xml:space="preserve">Proposals with a score of 70 and above will be </w:t>
      </w:r>
      <w:r w:rsidR="009D1A4E" w:rsidRPr="00D76A5D">
        <w:rPr>
          <w:rFonts w:cstheme="minorHAnsi"/>
        </w:rPr>
        <w:t>prioritized</w:t>
      </w:r>
      <w:r w:rsidRPr="00D76A5D">
        <w:rPr>
          <w:rFonts w:cstheme="minorHAnsi"/>
        </w:rPr>
        <w:t xml:space="preserve"> starting from the </w:t>
      </w:r>
      <w:r w:rsidRPr="00D76A5D">
        <w:rPr>
          <w:rFonts w:cstheme="minorHAnsi"/>
          <w:b/>
          <w:bCs/>
          <w:u w:val="single"/>
        </w:rPr>
        <w:t>highest score</w:t>
      </w:r>
      <w:r w:rsidR="008F7894">
        <w:rPr>
          <w:rFonts w:cstheme="minorHAnsi"/>
          <w:b/>
          <w:bCs/>
          <w:u w:val="single"/>
        </w:rPr>
        <w:t xml:space="preserve"> and based on their cost effectiveness and their alignment with the budget instructions mentioned above.</w:t>
      </w:r>
    </w:p>
    <w:p w14:paraId="36D5A12E" w14:textId="77777777" w:rsidR="002C0575" w:rsidRPr="005B2F77" w:rsidRDefault="002C0575" w:rsidP="002C0575">
      <w:pPr>
        <w:pStyle w:val="ListParagraph"/>
        <w:numPr>
          <w:ilvl w:val="0"/>
          <w:numId w:val="5"/>
        </w:numPr>
        <w:spacing w:after="0" w:line="240" w:lineRule="auto"/>
        <w:ind w:left="360"/>
        <w:contextualSpacing w:val="0"/>
        <w:jc w:val="both"/>
        <w:rPr>
          <w:rFonts w:cstheme="minorHAnsi"/>
        </w:rPr>
      </w:pPr>
      <w:r w:rsidRPr="00D76A5D">
        <w:rPr>
          <w:rFonts w:cstheme="minorHAnsi"/>
        </w:rPr>
        <w:t xml:space="preserve">A maximum of </w:t>
      </w:r>
      <w:r>
        <w:rPr>
          <w:rFonts w:cstheme="minorHAnsi"/>
          <w:b/>
          <w:bCs/>
          <w:u w:val="single"/>
        </w:rPr>
        <w:t>4</w:t>
      </w:r>
      <w:r w:rsidRPr="00D76A5D">
        <w:rPr>
          <w:rFonts w:cstheme="minorHAnsi"/>
          <w:b/>
          <w:bCs/>
          <w:u w:val="single"/>
        </w:rPr>
        <w:t xml:space="preserve"> projects</w:t>
      </w:r>
      <w:r w:rsidRPr="00D76A5D">
        <w:rPr>
          <w:rFonts w:cstheme="minorHAnsi"/>
        </w:rPr>
        <w:t xml:space="preserve"> will be selected, or up to the total allocation of funding</w:t>
      </w:r>
    </w:p>
    <w:p w14:paraId="3C953675" w14:textId="77777777" w:rsidR="002C0575" w:rsidRPr="00CF4C8D" w:rsidRDefault="002C0575" w:rsidP="002C0575">
      <w:pPr>
        <w:pStyle w:val="ListParagraph"/>
        <w:spacing w:after="0"/>
        <w:ind w:left="0"/>
      </w:pPr>
    </w:p>
    <w:p w14:paraId="4356EAB0" w14:textId="77777777" w:rsidR="002C0575" w:rsidRPr="00CF4C8D" w:rsidRDefault="002C0575" w:rsidP="002C0575">
      <w:pPr>
        <w:pStyle w:val="Guidelines2"/>
      </w:pPr>
      <w:r w:rsidRPr="00CF4C8D">
        <w:t>Notification of the decision</w:t>
      </w:r>
    </w:p>
    <w:p w14:paraId="78764703" w14:textId="77777777" w:rsidR="002C0575" w:rsidRPr="00CF4C8D" w:rsidRDefault="002C0575" w:rsidP="002C0575">
      <w:pPr>
        <w:shd w:val="clear" w:color="auto" w:fill="FFFFFF" w:themeFill="background1"/>
        <w:spacing w:after="0"/>
        <w:rPr>
          <w:rFonts w:cstheme="minorHAnsi"/>
          <w:highlight w:val="lightGray"/>
        </w:rPr>
      </w:pPr>
    </w:p>
    <w:p w14:paraId="4E8672B8" w14:textId="42B79C48" w:rsidR="002C0575" w:rsidRPr="00753D51" w:rsidRDefault="2187466C" w:rsidP="2187466C">
      <w:pPr>
        <w:pStyle w:val="ListParagraph"/>
        <w:numPr>
          <w:ilvl w:val="0"/>
          <w:numId w:val="13"/>
        </w:numPr>
        <w:spacing w:after="0" w:line="240" w:lineRule="auto"/>
        <w:ind w:left="360"/>
        <w:jc w:val="both"/>
      </w:pPr>
      <w:r w:rsidRPr="2187466C">
        <w:t xml:space="preserve">The decision will be communicated to the applicants by </w:t>
      </w:r>
      <w:r w:rsidR="00D0283C">
        <w:rPr>
          <w:b/>
          <w:bCs/>
          <w:u w:val="single"/>
        </w:rPr>
        <w:t>October 5</w:t>
      </w:r>
      <w:r w:rsidR="000949D4" w:rsidRPr="000949D4">
        <w:rPr>
          <w:b/>
          <w:bCs/>
          <w:u w:val="single"/>
        </w:rPr>
        <w:t>, 2020</w:t>
      </w:r>
      <w:r w:rsidRPr="2187466C">
        <w:t xml:space="preserve"> the latest.</w:t>
      </w:r>
    </w:p>
    <w:p w14:paraId="6A2D85C0" w14:textId="2DC99771" w:rsidR="002C0575" w:rsidRPr="00CF4C8D" w:rsidRDefault="2187466C" w:rsidP="2187466C">
      <w:pPr>
        <w:pStyle w:val="ListParagraph"/>
        <w:numPr>
          <w:ilvl w:val="0"/>
          <w:numId w:val="13"/>
        </w:numPr>
        <w:spacing w:after="0" w:line="240" w:lineRule="auto"/>
        <w:ind w:left="360"/>
        <w:jc w:val="both"/>
      </w:pPr>
      <w:r w:rsidRPr="2187466C">
        <w:lastRenderedPageBreak/>
        <w:t>Prior to signing the contract, selected CSOs will undergo a partnership assessment by Oxfam which includes a strategic fit assessment, due diligence assessment</w:t>
      </w:r>
      <w:r w:rsidR="00212F54">
        <w:t>,</w:t>
      </w:r>
      <w:r w:rsidRPr="2187466C">
        <w:t xml:space="preserve"> capacity assessment</w:t>
      </w:r>
      <w:r w:rsidR="00212F54">
        <w:t xml:space="preserve"> and integrity assessment</w:t>
      </w:r>
    </w:p>
    <w:p w14:paraId="16EBDCFB" w14:textId="0AE487E8" w:rsidR="002C0575" w:rsidRPr="00CF4C8D" w:rsidRDefault="2187466C" w:rsidP="2187466C">
      <w:pPr>
        <w:pStyle w:val="ListParagraph"/>
        <w:numPr>
          <w:ilvl w:val="0"/>
          <w:numId w:val="13"/>
        </w:numPr>
        <w:spacing w:after="0" w:line="240" w:lineRule="auto"/>
        <w:ind w:left="360"/>
        <w:jc w:val="both"/>
      </w:pPr>
      <w:r w:rsidRPr="2187466C">
        <w:t>Selected CSOs will be invited for an induction meeting(s) where winning proposals will be presented and finalized, and where Oxfam will present all compliance and grants requirements, finance and logistics requirements, in addition to setting the reporting dates and mechanisms and the ways of working.</w:t>
      </w:r>
    </w:p>
    <w:p w14:paraId="0AE0CB32" w14:textId="67C1BE09" w:rsidR="2187466C" w:rsidRDefault="2187466C" w:rsidP="2187466C">
      <w:pPr>
        <w:pStyle w:val="ListParagraph"/>
        <w:numPr>
          <w:ilvl w:val="0"/>
          <w:numId w:val="13"/>
        </w:numPr>
        <w:spacing w:after="0" w:line="240" w:lineRule="auto"/>
        <w:ind w:left="360"/>
        <w:jc w:val="both"/>
      </w:pPr>
      <w:r w:rsidRPr="2187466C">
        <w:t>First payment will be transferred upon signature of the contract.</w:t>
      </w:r>
    </w:p>
    <w:p w14:paraId="71893E61" w14:textId="77777777" w:rsidR="002C0575" w:rsidRPr="00CF4C8D" w:rsidRDefault="002C0575" w:rsidP="002C0575">
      <w:pPr>
        <w:spacing w:after="0"/>
        <w:rPr>
          <w:rFonts w:cstheme="minorHAnsi"/>
        </w:rPr>
      </w:pPr>
    </w:p>
    <w:p w14:paraId="40E4FDE7" w14:textId="77777777" w:rsidR="00791696" w:rsidRPr="00791696" w:rsidRDefault="00791696" w:rsidP="00791696"/>
    <w:sectPr w:rsidR="00791696" w:rsidRPr="007916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1BA6" w14:textId="77777777" w:rsidR="00791696" w:rsidRDefault="00791696" w:rsidP="00791696">
      <w:pPr>
        <w:spacing w:after="0" w:line="240" w:lineRule="auto"/>
      </w:pPr>
      <w:r>
        <w:separator/>
      </w:r>
    </w:p>
  </w:endnote>
  <w:endnote w:type="continuationSeparator" w:id="0">
    <w:p w14:paraId="70B77837" w14:textId="77777777" w:rsidR="00791696" w:rsidRDefault="00791696" w:rsidP="0079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439E" w14:textId="77777777" w:rsidR="00791696" w:rsidRDefault="00791696" w:rsidP="00791696">
      <w:pPr>
        <w:spacing w:after="0" w:line="240" w:lineRule="auto"/>
      </w:pPr>
      <w:r>
        <w:separator/>
      </w:r>
    </w:p>
  </w:footnote>
  <w:footnote w:type="continuationSeparator" w:id="0">
    <w:p w14:paraId="008171F3" w14:textId="77777777" w:rsidR="00791696" w:rsidRDefault="00791696" w:rsidP="0079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A39B7" w14:textId="74DA2932" w:rsidR="00791696" w:rsidRDefault="00577836" w:rsidP="00791696">
    <w:pPr>
      <w:pStyle w:val="Header"/>
    </w:pPr>
    <w:r>
      <w:rPr>
        <w:noProof/>
      </w:rPr>
      <w:drawing>
        <wp:anchor distT="0" distB="0" distL="114300" distR="114300" simplePos="0" relativeHeight="251658240" behindDoc="0" locked="0" layoutInCell="1" allowOverlap="1" wp14:anchorId="2614E926" wp14:editId="77477090">
          <wp:simplePos x="0" y="0"/>
          <wp:positionH relativeFrom="margin">
            <wp:posOffset>2562860</wp:posOffset>
          </wp:positionH>
          <wp:positionV relativeFrom="paragraph">
            <wp:posOffset>47625</wp:posOffset>
          </wp:positionV>
          <wp:extent cx="1494790" cy="1033145"/>
          <wp:effectExtent l="0" t="0" r="0" b="0"/>
          <wp:wrapSquare wrapText="bothSides"/>
          <wp:docPr id="7" name="Picture 7">
            <a:extLst xmlns:a="http://schemas.openxmlformats.org/drawingml/2006/main">
              <a:ext uri="{FF2B5EF4-FFF2-40B4-BE49-F238E27FC236}">
                <a16:creationId xmlns:a16="http://schemas.microsoft.com/office/drawing/2014/main" id="{98664506-EE7A-4DAA-BE09-16CB8F483E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a:extLst>
                      <a:ext uri="{FF2B5EF4-FFF2-40B4-BE49-F238E27FC236}">
                        <a16:creationId xmlns:a16="http://schemas.microsoft.com/office/drawing/2014/main" id="{98664506-EE7A-4DAA-BE09-16CB8F483E0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79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0288" behindDoc="0" locked="0" layoutInCell="1" allowOverlap="1" wp14:anchorId="70084D88" wp14:editId="0918E288">
          <wp:simplePos x="0" y="0"/>
          <wp:positionH relativeFrom="column">
            <wp:posOffset>5124450</wp:posOffset>
          </wp:positionH>
          <wp:positionV relativeFrom="paragraph">
            <wp:posOffset>9525</wp:posOffset>
          </wp:positionV>
          <wp:extent cx="1209675" cy="1209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696">
      <w:rPr>
        <w:noProof/>
      </w:rPr>
      <w:drawing>
        <wp:inline distT="0" distB="0" distL="0" distR="0" wp14:anchorId="4F806E7A" wp14:editId="5B728767">
          <wp:extent cx="1499616" cy="120628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9616" cy="1206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7385"/>
    <w:multiLevelType w:val="hybridMultilevel"/>
    <w:tmpl w:val="0DBAE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A71D1"/>
    <w:multiLevelType w:val="hybridMultilevel"/>
    <w:tmpl w:val="4D62FBCE"/>
    <w:lvl w:ilvl="0" w:tplc="C96CB928">
      <w:start w:val="1"/>
      <w:numFmt w:val="bullet"/>
      <w:lvlText w:val=""/>
      <w:lvlJc w:val="left"/>
      <w:pPr>
        <w:ind w:left="720" w:hanging="360"/>
      </w:pPr>
      <w:rPr>
        <w:rFonts w:ascii="Symbol" w:hAnsi="Symbol" w:hint="default"/>
      </w:rPr>
    </w:lvl>
    <w:lvl w:ilvl="1" w:tplc="AB8221F8">
      <w:start w:val="1"/>
      <w:numFmt w:val="bullet"/>
      <w:lvlText w:val="o"/>
      <w:lvlJc w:val="left"/>
      <w:pPr>
        <w:ind w:left="1440" w:hanging="360"/>
      </w:pPr>
      <w:rPr>
        <w:rFonts w:ascii="Courier New" w:hAnsi="Courier New" w:hint="default"/>
      </w:rPr>
    </w:lvl>
    <w:lvl w:ilvl="2" w:tplc="74E26C48">
      <w:start w:val="1"/>
      <w:numFmt w:val="bullet"/>
      <w:lvlText w:val=""/>
      <w:lvlJc w:val="left"/>
      <w:pPr>
        <w:ind w:left="2160" w:hanging="360"/>
      </w:pPr>
      <w:rPr>
        <w:rFonts w:ascii="Wingdings" w:hAnsi="Wingdings" w:hint="default"/>
      </w:rPr>
    </w:lvl>
    <w:lvl w:ilvl="3" w:tplc="9086F952">
      <w:start w:val="1"/>
      <w:numFmt w:val="bullet"/>
      <w:lvlText w:val=""/>
      <w:lvlJc w:val="left"/>
      <w:pPr>
        <w:ind w:left="2880" w:hanging="360"/>
      </w:pPr>
      <w:rPr>
        <w:rFonts w:ascii="Symbol" w:hAnsi="Symbol" w:hint="default"/>
      </w:rPr>
    </w:lvl>
    <w:lvl w:ilvl="4" w:tplc="69EE28E6">
      <w:start w:val="1"/>
      <w:numFmt w:val="bullet"/>
      <w:lvlText w:val="o"/>
      <w:lvlJc w:val="left"/>
      <w:pPr>
        <w:ind w:left="3600" w:hanging="360"/>
      </w:pPr>
      <w:rPr>
        <w:rFonts w:ascii="Courier New" w:hAnsi="Courier New" w:hint="default"/>
      </w:rPr>
    </w:lvl>
    <w:lvl w:ilvl="5" w:tplc="86C0D8C8">
      <w:start w:val="1"/>
      <w:numFmt w:val="bullet"/>
      <w:lvlText w:val=""/>
      <w:lvlJc w:val="left"/>
      <w:pPr>
        <w:ind w:left="4320" w:hanging="360"/>
      </w:pPr>
      <w:rPr>
        <w:rFonts w:ascii="Wingdings" w:hAnsi="Wingdings" w:hint="default"/>
      </w:rPr>
    </w:lvl>
    <w:lvl w:ilvl="6" w:tplc="E8047E6C">
      <w:start w:val="1"/>
      <w:numFmt w:val="bullet"/>
      <w:lvlText w:val=""/>
      <w:lvlJc w:val="left"/>
      <w:pPr>
        <w:ind w:left="5040" w:hanging="360"/>
      </w:pPr>
      <w:rPr>
        <w:rFonts w:ascii="Symbol" w:hAnsi="Symbol" w:hint="default"/>
      </w:rPr>
    </w:lvl>
    <w:lvl w:ilvl="7" w:tplc="730E550C">
      <w:start w:val="1"/>
      <w:numFmt w:val="bullet"/>
      <w:lvlText w:val="o"/>
      <w:lvlJc w:val="left"/>
      <w:pPr>
        <w:ind w:left="5760" w:hanging="360"/>
      </w:pPr>
      <w:rPr>
        <w:rFonts w:ascii="Courier New" w:hAnsi="Courier New" w:hint="default"/>
      </w:rPr>
    </w:lvl>
    <w:lvl w:ilvl="8" w:tplc="34EA5516">
      <w:start w:val="1"/>
      <w:numFmt w:val="bullet"/>
      <w:lvlText w:val=""/>
      <w:lvlJc w:val="left"/>
      <w:pPr>
        <w:ind w:left="6480" w:hanging="360"/>
      </w:pPr>
      <w:rPr>
        <w:rFonts w:ascii="Wingdings" w:hAnsi="Wingdings" w:hint="default"/>
      </w:rPr>
    </w:lvl>
  </w:abstractNum>
  <w:abstractNum w:abstractNumId="2" w15:restartNumberingAfterBreak="0">
    <w:nsid w:val="2CFB6678"/>
    <w:multiLevelType w:val="hybridMultilevel"/>
    <w:tmpl w:val="AC524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A585D"/>
    <w:multiLevelType w:val="hybridMultilevel"/>
    <w:tmpl w:val="836E9944"/>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400A5"/>
    <w:multiLevelType w:val="hybridMultilevel"/>
    <w:tmpl w:val="AE7AF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C3F02"/>
    <w:multiLevelType w:val="hybridMultilevel"/>
    <w:tmpl w:val="BCC42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40694"/>
    <w:multiLevelType w:val="hybridMultilevel"/>
    <w:tmpl w:val="05748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E51E7"/>
    <w:multiLevelType w:val="hybridMultilevel"/>
    <w:tmpl w:val="8042F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17ECD"/>
    <w:multiLevelType w:val="hybridMultilevel"/>
    <w:tmpl w:val="BA54B0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007A1"/>
    <w:multiLevelType w:val="multilevel"/>
    <w:tmpl w:val="89BED7AC"/>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09138D8"/>
    <w:multiLevelType w:val="hybridMultilevel"/>
    <w:tmpl w:val="A38CD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53971"/>
    <w:multiLevelType w:val="hybridMultilevel"/>
    <w:tmpl w:val="A65C89A2"/>
    <w:lvl w:ilvl="0" w:tplc="7368F7F0">
      <w:start w:val="1"/>
      <w:numFmt w:val="bullet"/>
      <w:lvlText w:val=""/>
      <w:lvlJc w:val="left"/>
      <w:pPr>
        <w:ind w:left="720" w:hanging="360"/>
      </w:pPr>
      <w:rPr>
        <w:rFonts w:ascii="Wingdings" w:hAnsi="Wingdings" w:hint="default"/>
      </w:rPr>
    </w:lvl>
    <w:lvl w:ilvl="1" w:tplc="5E5E9EE8">
      <w:start w:val="1"/>
      <w:numFmt w:val="bullet"/>
      <w:lvlText w:val="o"/>
      <w:lvlJc w:val="left"/>
      <w:pPr>
        <w:ind w:left="1440" w:hanging="360"/>
      </w:pPr>
      <w:rPr>
        <w:rFonts w:ascii="Courier New" w:hAnsi="Courier New" w:hint="default"/>
      </w:rPr>
    </w:lvl>
    <w:lvl w:ilvl="2" w:tplc="CCF44CB4">
      <w:start w:val="1"/>
      <w:numFmt w:val="bullet"/>
      <w:lvlText w:val=""/>
      <w:lvlJc w:val="left"/>
      <w:pPr>
        <w:ind w:left="2160" w:hanging="360"/>
      </w:pPr>
      <w:rPr>
        <w:rFonts w:ascii="Wingdings" w:hAnsi="Wingdings" w:hint="default"/>
      </w:rPr>
    </w:lvl>
    <w:lvl w:ilvl="3" w:tplc="00FC1EDC">
      <w:start w:val="1"/>
      <w:numFmt w:val="bullet"/>
      <w:lvlText w:val=""/>
      <w:lvlJc w:val="left"/>
      <w:pPr>
        <w:ind w:left="2880" w:hanging="360"/>
      </w:pPr>
      <w:rPr>
        <w:rFonts w:ascii="Symbol" w:hAnsi="Symbol" w:hint="default"/>
      </w:rPr>
    </w:lvl>
    <w:lvl w:ilvl="4" w:tplc="28082A52">
      <w:start w:val="1"/>
      <w:numFmt w:val="bullet"/>
      <w:lvlText w:val="o"/>
      <w:lvlJc w:val="left"/>
      <w:pPr>
        <w:ind w:left="3600" w:hanging="360"/>
      </w:pPr>
      <w:rPr>
        <w:rFonts w:ascii="Courier New" w:hAnsi="Courier New" w:hint="default"/>
      </w:rPr>
    </w:lvl>
    <w:lvl w:ilvl="5" w:tplc="D2BAA452">
      <w:start w:val="1"/>
      <w:numFmt w:val="bullet"/>
      <w:lvlText w:val=""/>
      <w:lvlJc w:val="left"/>
      <w:pPr>
        <w:ind w:left="4320" w:hanging="360"/>
      </w:pPr>
      <w:rPr>
        <w:rFonts w:ascii="Wingdings" w:hAnsi="Wingdings" w:hint="default"/>
      </w:rPr>
    </w:lvl>
    <w:lvl w:ilvl="6" w:tplc="85E62814">
      <w:start w:val="1"/>
      <w:numFmt w:val="bullet"/>
      <w:lvlText w:val=""/>
      <w:lvlJc w:val="left"/>
      <w:pPr>
        <w:ind w:left="5040" w:hanging="360"/>
      </w:pPr>
      <w:rPr>
        <w:rFonts w:ascii="Symbol" w:hAnsi="Symbol" w:hint="default"/>
      </w:rPr>
    </w:lvl>
    <w:lvl w:ilvl="7" w:tplc="FF0E7160">
      <w:start w:val="1"/>
      <w:numFmt w:val="bullet"/>
      <w:lvlText w:val="o"/>
      <w:lvlJc w:val="left"/>
      <w:pPr>
        <w:ind w:left="5760" w:hanging="360"/>
      </w:pPr>
      <w:rPr>
        <w:rFonts w:ascii="Courier New" w:hAnsi="Courier New" w:hint="default"/>
      </w:rPr>
    </w:lvl>
    <w:lvl w:ilvl="8" w:tplc="EF78650E">
      <w:start w:val="1"/>
      <w:numFmt w:val="bullet"/>
      <w:lvlText w:val=""/>
      <w:lvlJc w:val="left"/>
      <w:pPr>
        <w:ind w:left="6480" w:hanging="360"/>
      </w:pPr>
      <w:rPr>
        <w:rFonts w:ascii="Wingdings" w:hAnsi="Wingdings" w:hint="default"/>
      </w:rPr>
    </w:lvl>
  </w:abstractNum>
  <w:abstractNum w:abstractNumId="12" w15:restartNumberingAfterBreak="0">
    <w:nsid w:val="7DE10205"/>
    <w:multiLevelType w:val="hybridMultilevel"/>
    <w:tmpl w:val="40406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9"/>
  </w:num>
  <w:num w:numId="5">
    <w:abstractNumId w:val="10"/>
  </w:num>
  <w:num w:numId="6">
    <w:abstractNumId w:val="7"/>
  </w:num>
  <w:num w:numId="7">
    <w:abstractNumId w:val="6"/>
  </w:num>
  <w:num w:numId="8">
    <w:abstractNumId w:val="2"/>
  </w:num>
  <w:num w:numId="9">
    <w:abstractNumId w:val="8"/>
  </w:num>
  <w:num w:numId="10">
    <w:abstractNumId w:val="12"/>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B6"/>
    <w:rsid w:val="00032AFF"/>
    <w:rsid w:val="00094106"/>
    <w:rsid w:val="000949D4"/>
    <w:rsid w:val="00096B5F"/>
    <w:rsid w:val="000A2178"/>
    <w:rsid w:val="00110A7E"/>
    <w:rsid w:val="001D3BB1"/>
    <w:rsid w:val="001F49DF"/>
    <w:rsid w:val="00212F54"/>
    <w:rsid w:val="002574FB"/>
    <w:rsid w:val="002A2E7B"/>
    <w:rsid w:val="002C0575"/>
    <w:rsid w:val="002C28A6"/>
    <w:rsid w:val="002E3880"/>
    <w:rsid w:val="002F2E91"/>
    <w:rsid w:val="00392322"/>
    <w:rsid w:val="003941E0"/>
    <w:rsid w:val="003D5ABA"/>
    <w:rsid w:val="003D62DA"/>
    <w:rsid w:val="003F44DF"/>
    <w:rsid w:val="00403A3A"/>
    <w:rsid w:val="004304C8"/>
    <w:rsid w:val="00442C3A"/>
    <w:rsid w:val="004B7BE8"/>
    <w:rsid w:val="004C2CD6"/>
    <w:rsid w:val="004D37E8"/>
    <w:rsid w:val="004F26C3"/>
    <w:rsid w:val="004F4619"/>
    <w:rsid w:val="005411FF"/>
    <w:rsid w:val="00557DF6"/>
    <w:rsid w:val="00577836"/>
    <w:rsid w:val="00604BC8"/>
    <w:rsid w:val="00656CC5"/>
    <w:rsid w:val="00681612"/>
    <w:rsid w:val="00690DFD"/>
    <w:rsid w:val="00715C6F"/>
    <w:rsid w:val="0073464E"/>
    <w:rsid w:val="007346FF"/>
    <w:rsid w:val="00791696"/>
    <w:rsid w:val="007D3B82"/>
    <w:rsid w:val="0081517D"/>
    <w:rsid w:val="00853205"/>
    <w:rsid w:val="008658E5"/>
    <w:rsid w:val="008838B0"/>
    <w:rsid w:val="008941D5"/>
    <w:rsid w:val="008E6109"/>
    <w:rsid w:val="008F20D0"/>
    <w:rsid w:val="008F7894"/>
    <w:rsid w:val="00955CFB"/>
    <w:rsid w:val="0097460E"/>
    <w:rsid w:val="009832B6"/>
    <w:rsid w:val="009D1A4E"/>
    <w:rsid w:val="009F0B00"/>
    <w:rsid w:val="00A03BF6"/>
    <w:rsid w:val="00A4161F"/>
    <w:rsid w:val="00A427FA"/>
    <w:rsid w:val="00A73013"/>
    <w:rsid w:val="00A76C41"/>
    <w:rsid w:val="00A91CB7"/>
    <w:rsid w:val="00AE4CFB"/>
    <w:rsid w:val="00AF7EB6"/>
    <w:rsid w:val="00B217F8"/>
    <w:rsid w:val="00B953B3"/>
    <w:rsid w:val="00BA055F"/>
    <w:rsid w:val="00BA3B98"/>
    <w:rsid w:val="00BC0D16"/>
    <w:rsid w:val="00C92DC7"/>
    <w:rsid w:val="00CD65A4"/>
    <w:rsid w:val="00D0283C"/>
    <w:rsid w:val="00D364E2"/>
    <w:rsid w:val="00D4108D"/>
    <w:rsid w:val="00D83723"/>
    <w:rsid w:val="00D9224E"/>
    <w:rsid w:val="00DC2506"/>
    <w:rsid w:val="00DD1CE9"/>
    <w:rsid w:val="00E16A52"/>
    <w:rsid w:val="00E2425C"/>
    <w:rsid w:val="00EA1749"/>
    <w:rsid w:val="00EF73A7"/>
    <w:rsid w:val="00EF73CF"/>
    <w:rsid w:val="00F06C5A"/>
    <w:rsid w:val="00F64F4A"/>
    <w:rsid w:val="00F66E0D"/>
    <w:rsid w:val="00F831A5"/>
    <w:rsid w:val="00FC26DC"/>
    <w:rsid w:val="00FC4662"/>
    <w:rsid w:val="00FF22B6"/>
    <w:rsid w:val="081131E7"/>
    <w:rsid w:val="12BBD78D"/>
    <w:rsid w:val="2187466C"/>
    <w:rsid w:val="2C39F960"/>
    <w:rsid w:val="2C607D2B"/>
    <w:rsid w:val="2E2C7602"/>
    <w:rsid w:val="34471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EF9A0"/>
  <w15:chartTrackingRefBased/>
  <w15:docId w15:val="{5C1BBCD0-1089-41B9-8824-6061B74E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696"/>
  </w:style>
  <w:style w:type="paragraph" w:styleId="Footer">
    <w:name w:val="footer"/>
    <w:basedOn w:val="Normal"/>
    <w:link w:val="FooterChar"/>
    <w:uiPriority w:val="99"/>
    <w:unhideWhenUsed/>
    <w:rsid w:val="0079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96"/>
  </w:style>
  <w:style w:type="paragraph" w:customStyle="1" w:styleId="Guidelines2">
    <w:name w:val="Guidelines 2"/>
    <w:basedOn w:val="Normal"/>
    <w:next w:val="Normal"/>
    <w:autoRedefine/>
    <w:qFormat/>
    <w:rsid w:val="00791696"/>
    <w:pPr>
      <w:shd w:val="clear" w:color="auto" w:fill="92D050"/>
      <w:spacing w:after="0" w:line="240" w:lineRule="auto"/>
      <w:jc w:val="both"/>
      <w:outlineLvl w:val="0"/>
    </w:pPr>
    <w:rPr>
      <w:rFonts w:eastAsia="Times New Roman" w:cstheme="minorHAnsi"/>
      <w:b/>
      <w:smallCaps/>
      <w:sz w:val="28"/>
      <w:szCs w:val="20"/>
      <w:lang w:val="en-GB"/>
    </w:rPr>
  </w:style>
  <w:style w:type="paragraph" w:styleId="ListParagraph">
    <w:name w:val="List Paragraph"/>
    <w:basedOn w:val="Normal"/>
    <w:uiPriority w:val="34"/>
    <w:qFormat/>
    <w:rsid w:val="00791696"/>
    <w:pPr>
      <w:ind w:left="720"/>
      <w:contextualSpacing/>
    </w:pPr>
  </w:style>
  <w:style w:type="character" w:styleId="Hyperlink">
    <w:name w:val="Hyperlink"/>
    <w:basedOn w:val="DefaultParagraphFont"/>
    <w:uiPriority w:val="99"/>
    <w:rsid w:val="002C0575"/>
    <w:rPr>
      <w:rFonts w:cs="Times New Roman"/>
      <w:color w:val="0000FF"/>
      <w:u w:val="single"/>
    </w:rPr>
  </w:style>
  <w:style w:type="paragraph" w:styleId="FootnoteText">
    <w:name w:val="footnote text"/>
    <w:basedOn w:val="Normal"/>
    <w:link w:val="FootnoteTextChar"/>
    <w:uiPriority w:val="99"/>
    <w:qFormat/>
    <w:rsid w:val="002C0575"/>
    <w:pPr>
      <w:spacing w:before="120" w:after="0" w:line="240" w:lineRule="auto"/>
      <w:ind w:left="284" w:hanging="284"/>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2C0575"/>
    <w:rPr>
      <w:rFonts w:ascii="Times New Roman" w:eastAsia="Times New Roman" w:hAnsi="Times New Roman" w:cs="Times New Roman"/>
      <w:sz w:val="20"/>
      <w:szCs w:val="20"/>
      <w:lang w:val="en-GB"/>
    </w:rPr>
  </w:style>
  <w:style w:type="character" w:styleId="FootnoteReference">
    <w:name w:val="footnote reference"/>
    <w:basedOn w:val="DefaultParagraphFont"/>
    <w:link w:val="Char2"/>
    <w:uiPriority w:val="99"/>
    <w:qFormat/>
    <w:rsid w:val="002C0575"/>
    <w:rPr>
      <w:rFonts w:cs="Times New Roman"/>
      <w:sz w:val="24"/>
      <w:vertAlign w:val="superscript"/>
    </w:rPr>
  </w:style>
  <w:style w:type="paragraph" w:customStyle="1" w:styleId="Char2">
    <w:name w:val="Char2"/>
    <w:basedOn w:val="Normal"/>
    <w:link w:val="FootnoteReference"/>
    <w:uiPriority w:val="99"/>
    <w:rsid w:val="002C0575"/>
    <w:pPr>
      <w:spacing w:before="120" w:line="240" w:lineRule="exact"/>
    </w:pPr>
    <w:rPr>
      <w:rFonts w:cs="Times New Roman"/>
      <w:sz w:val="24"/>
      <w:vertAlign w:val="superscript"/>
    </w:rPr>
  </w:style>
  <w:style w:type="character" w:styleId="UnresolvedMention">
    <w:name w:val="Unresolved Mention"/>
    <w:basedOn w:val="DefaultParagraphFont"/>
    <w:uiPriority w:val="99"/>
    <w:semiHidden/>
    <w:unhideWhenUsed/>
    <w:rsid w:val="004F26C3"/>
    <w:rPr>
      <w:color w:val="605E5C"/>
      <w:shd w:val="clear" w:color="auto" w:fill="E1DFDD"/>
    </w:rPr>
  </w:style>
  <w:style w:type="character" w:styleId="CommentReference">
    <w:name w:val="annotation reference"/>
    <w:basedOn w:val="DefaultParagraphFont"/>
    <w:uiPriority w:val="99"/>
    <w:semiHidden/>
    <w:unhideWhenUsed/>
    <w:rsid w:val="00B217F8"/>
    <w:rPr>
      <w:sz w:val="16"/>
      <w:szCs w:val="16"/>
    </w:rPr>
  </w:style>
  <w:style w:type="paragraph" w:styleId="CommentText">
    <w:name w:val="annotation text"/>
    <w:basedOn w:val="Normal"/>
    <w:link w:val="CommentTextChar"/>
    <w:uiPriority w:val="99"/>
    <w:semiHidden/>
    <w:unhideWhenUsed/>
    <w:rsid w:val="00B217F8"/>
    <w:pPr>
      <w:spacing w:line="240" w:lineRule="auto"/>
    </w:pPr>
    <w:rPr>
      <w:sz w:val="20"/>
      <w:szCs w:val="20"/>
    </w:rPr>
  </w:style>
  <w:style w:type="character" w:customStyle="1" w:styleId="CommentTextChar">
    <w:name w:val="Comment Text Char"/>
    <w:basedOn w:val="DefaultParagraphFont"/>
    <w:link w:val="CommentText"/>
    <w:uiPriority w:val="99"/>
    <w:semiHidden/>
    <w:rsid w:val="00B217F8"/>
    <w:rPr>
      <w:sz w:val="20"/>
      <w:szCs w:val="20"/>
    </w:rPr>
  </w:style>
  <w:style w:type="paragraph" w:styleId="CommentSubject">
    <w:name w:val="annotation subject"/>
    <w:basedOn w:val="CommentText"/>
    <w:next w:val="CommentText"/>
    <w:link w:val="CommentSubjectChar"/>
    <w:uiPriority w:val="99"/>
    <w:semiHidden/>
    <w:unhideWhenUsed/>
    <w:rsid w:val="00B217F8"/>
    <w:rPr>
      <w:b/>
      <w:bCs/>
    </w:rPr>
  </w:style>
  <w:style w:type="character" w:customStyle="1" w:styleId="CommentSubjectChar">
    <w:name w:val="Comment Subject Char"/>
    <w:basedOn w:val="CommentTextChar"/>
    <w:link w:val="CommentSubject"/>
    <w:uiPriority w:val="99"/>
    <w:semiHidden/>
    <w:rsid w:val="00B217F8"/>
    <w:rPr>
      <w:b/>
      <w:bCs/>
      <w:sz w:val="20"/>
      <w:szCs w:val="20"/>
    </w:rPr>
  </w:style>
  <w:style w:type="paragraph" w:styleId="BalloonText">
    <w:name w:val="Balloon Text"/>
    <w:basedOn w:val="Normal"/>
    <w:link w:val="BalloonTextChar"/>
    <w:uiPriority w:val="99"/>
    <w:semiHidden/>
    <w:unhideWhenUsed/>
    <w:rsid w:val="00B21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uad@oxfam.org.uk" TargetMode="External"/><Relationship Id="rId3" Type="http://schemas.openxmlformats.org/officeDocument/2006/relationships/settings" Target="settings.xml"/><Relationship Id="rId7" Type="http://schemas.openxmlformats.org/officeDocument/2006/relationships/hyperlink" Target="mailto:naouad@oxfa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banonJobs@oxfam.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Aouad</dc:creator>
  <cp:keywords/>
  <dc:description/>
  <cp:lastModifiedBy>Nizar Aouad</cp:lastModifiedBy>
  <cp:revision>10</cp:revision>
  <cp:lastPrinted>2020-07-28T12:38:00Z</cp:lastPrinted>
  <dcterms:created xsi:type="dcterms:W3CDTF">2020-07-24T09:31:00Z</dcterms:created>
  <dcterms:modified xsi:type="dcterms:W3CDTF">2020-09-04T08:47:00Z</dcterms:modified>
</cp:coreProperties>
</file>