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D62" w:rsidRDefault="00032D62" w:rsidP="007E420E">
      <w:pPr>
        <w:pStyle w:val="Default"/>
        <w:jc w:val="both"/>
        <w:rPr>
          <w:sz w:val="22"/>
          <w:szCs w:val="22"/>
        </w:rPr>
      </w:pPr>
    </w:p>
    <w:p w:rsidR="009E49BB" w:rsidRDefault="009E49BB" w:rsidP="009E49BB">
      <w:pPr>
        <w:pStyle w:val="Default"/>
        <w:pBdr>
          <w:top w:val="single" w:sz="4" w:space="1" w:color="auto"/>
          <w:left w:val="single" w:sz="4" w:space="4" w:color="auto"/>
          <w:bottom w:val="single" w:sz="4" w:space="1" w:color="auto"/>
          <w:right w:val="single" w:sz="4" w:space="4" w:color="auto"/>
        </w:pBdr>
        <w:jc w:val="center"/>
        <w:rPr>
          <w:b/>
          <w:i/>
          <w:sz w:val="22"/>
          <w:szCs w:val="22"/>
        </w:rPr>
      </w:pPr>
      <w:r>
        <w:rPr>
          <w:b/>
          <w:i/>
          <w:sz w:val="22"/>
          <w:szCs w:val="22"/>
        </w:rPr>
        <w:t>Appel à manifestation d’intérêt</w:t>
      </w:r>
    </w:p>
    <w:p w:rsidR="00032D62" w:rsidRPr="007435B3" w:rsidRDefault="00B57EC5" w:rsidP="009E49BB">
      <w:pPr>
        <w:pStyle w:val="Default"/>
        <w:pBdr>
          <w:top w:val="single" w:sz="4" w:space="1" w:color="auto"/>
          <w:left w:val="single" w:sz="4" w:space="4" w:color="auto"/>
          <w:bottom w:val="single" w:sz="4" w:space="1" w:color="auto"/>
          <w:right w:val="single" w:sz="4" w:space="4" w:color="auto"/>
        </w:pBdr>
        <w:jc w:val="center"/>
        <w:rPr>
          <w:b/>
          <w:i/>
          <w:sz w:val="22"/>
          <w:szCs w:val="22"/>
        </w:rPr>
      </w:pPr>
      <w:r>
        <w:rPr>
          <w:b/>
          <w:i/>
          <w:sz w:val="22"/>
          <w:szCs w:val="22"/>
        </w:rPr>
        <w:t>Participation au</w:t>
      </w:r>
      <w:r w:rsidR="009E49BB">
        <w:rPr>
          <w:b/>
          <w:i/>
          <w:sz w:val="22"/>
          <w:szCs w:val="22"/>
        </w:rPr>
        <w:t xml:space="preserve"> </w:t>
      </w:r>
      <w:r w:rsidR="00032D62" w:rsidRPr="007435B3">
        <w:rPr>
          <w:b/>
          <w:i/>
          <w:sz w:val="22"/>
          <w:szCs w:val="22"/>
        </w:rPr>
        <w:t>Projet de «Renforcement de la reconnaissance et des capacités des acteurs tripolitains à faire face aux crises sur leur territoire» </w:t>
      </w:r>
    </w:p>
    <w:p w:rsidR="00032D62" w:rsidRPr="007435B3" w:rsidRDefault="00032D62" w:rsidP="007E420E">
      <w:pPr>
        <w:pStyle w:val="Default"/>
        <w:jc w:val="both"/>
        <w:rPr>
          <w:sz w:val="22"/>
          <w:szCs w:val="22"/>
        </w:rPr>
      </w:pPr>
    </w:p>
    <w:p w:rsidR="009504AA" w:rsidRPr="008019E1" w:rsidRDefault="009504AA" w:rsidP="00DF35C9">
      <w:pPr>
        <w:pStyle w:val="Heading2"/>
        <w:numPr>
          <w:ilvl w:val="0"/>
          <w:numId w:val="13"/>
        </w:numPr>
        <w:rPr>
          <w:b/>
          <w:bCs/>
          <w:sz w:val="24"/>
          <w:szCs w:val="24"/>
        </w:rPr>
      </w:pPr>
      <w:r w:rsidRPr="008019E1">
        <w:rPr>
          <w:b/>
          <w:bCs/>
          <w:sz w:val="24"/>
          <w:szCs w:val="24"/>
        </w:rPr>
        <w:t xml:space="preserve">Contexte </w:t>
      </w:r>
    </w:p>
    <w:p w:rsidR="007E420E" w:rsidRPr="007435B3" w:rsidRDefault="007E420E" w:rsidP="007E420E">
      <w:pPr>
        <w:pStyle w:val="Default"/>
        <w:ind w:left="720"/>
        <w:jc w:val="both"/>
        <w:rPr>
          <w:b/>
          <w:bCs/>
          <w:sz w:val="22"/>
          <w:szCs w:val="22"/>
        </w:rPr>
      </w:pPr>
    </w:p>
    <w:p w:rsidR="00A56153" w:rsidRDefault="00815961" w:rsidP="00032D62">
      <w:pPr>
        <w:spacing w:after="0" w:line="240" w:lineRule="auto"/>
        <w:jc w:val="both"/>
      </w:pPr>
      <w:r w:rsidRPr="007435B3">
        <w:rPr>
          <w:bCs/>
        </w:rPr>
        <w:t>L</w:t>
      </w:r>
      <w:r w:rsidR="00F941A8" w:rsidRPr="007435B3">
        <w:rPr>
          <w:bCs/>
        </w:rPr>
        <w:t xml:space="preserve">’Institut Bioforce, le Groupe URD, et </w:t>
      </w:r>
      <w:proofErr w:type="spellStart"/>
      <w:r w:rsidR="00F941A8" w:rsidRPr="007435B3">
        <w:rPr>
          <w:bCs/>
        </w:rPr>
        <w:t>North</w:t>
      </w:r>
      <w:proofErr w:type="spellEnd"/>
      <w:r w:rsidR="00F941A8" w:rsidRPr="007435B3">
        <w:rPr>
          <w:bCs/>
        </w:rPr>
        <w:t xml:space="preserve"> LEDA </w:t>
      </w:r>
      <w:r w:rsidR="00032D62">
        <w:rPr>
          <w:bCs/>
        </w:rPr>
        <w:t>ont constitué</w:t>
      </w:r>
      <w:r w:rsidRPr="007435B3">
        <w:rPr>
          <w:bCs/>
        </w:rPr>
        <w:t xml:space="preserve"> </w:t>
      </w:r>
      <w:r w:rsidR="00032D62" w:rsidRPr="00FD4933">
        <w:rPr>
          <w:bCs/>
        </w:rPr>
        <w:t xml:space="preserve">un </w:t>
      </w:r>
      <w:r w:rsidR="00E761A8" w:rsidRPr="00FD4933">
        <w:rPr>
          <w:bCs/>
        </w:rPr>
        <w:t>C</w:t>
      </w:r>
      <w:r w:rsidR="00032D62" w:rsidRPr="00FD4933">
        <w:rPr>
          <w:bCs/>
        </w:rPr>
        <w:t>onsortium pour</w:t>
      </w:r>
      <w:r w:rsidR="00032D62">
        <w:rPr>
          <w:bCs/>
        </w:rPr>
        <w:t xml:space="preserve"> développer et conduire</w:t>
      </w:r>
      <w:r w:rsidR="00F941A8" w:rsidRPr="007435B3">
        <w:rPr>
          <w:bCs/>
        </w:rPr>
        <w:t xml:space="preserve"> conjointement un projet visant à </w:t>
      </w:r>
      <w:r w:rsidR="00F941A8" w:rsidRPr="007435B3">
        <w:t xml:space="preserve">renforcer la reconnaissance et les capacités institutionnelles et opérationnelles des acteurs tripolitains à faire face aux crises sur leur territoire. Ce projet d’une durée de 3 ans est </w:t>
      </w:r>
      <w:r w:rsidR="00960955" w:rsidRPr="007435B3">
        <w:t>cofinancé</w:t>
      </w:r>
      <w:r w:rsidR="00F941A8" w:rsidRPr="007435B3">
        <w:t xml:space="preserve"> par l’Agence Française de Développement</w:t>
      </w:r>
      <w:r w:rsidR="00F941A8" w:rsidRPr="007435B3">
        <w:rPr>
          <w:bCs/>
        </w:rPr>
        <w:t xml:space="preserve"> </w:t>
      </w:r>
      <w:r w:rsidR="00960955" w:rsidRPr="007435B3">
        <w:rPr>
          <w:bCs/>
        </w:rPr>
        <w:t>et la Région Auvergne Rhône-</w:t>
      </w:r>
      <w:r w:rsidR="00F941A8" w:rsidRPr="007435B3">
        <w:t>Alpes. Les bénéficiaires ciblés par cette action sont les suivants : 30 Organisations de la Société Civile (OSC) locales intervenant sur le territoire de Tripoli ; la Municipalité de Tripoli</w:t>
      </w:r>
      <w:r w:rsidR="009504AA" w:rsidRPr="007435B3">
        <w:t xml:space="preserve">. </w:t>
      </w:r>
    </w:p>
    <w:p w:rsidR="009504AA" w:rsidRDefault="00F941A8" w:rsidP="00032D62">
      <w:pPr>
        <w:spacing w:after="0" w:line="240" w:lineRule="auto"/>
        <w:jc w:val="both"/>
      </w:pPr>
      <w:r w:rsidRPr="007435B3">
        <w:t>Le projet est structuré autour de</w:t>
      </w:r>
      <w:r w:rsidR="00DF35C9">
        <w:t>s</w:t>
      </w:r>
      <w:r w:rsidRPr="007435B3">
        <w:t xml:space="preserve"> 3 axes </w:t>
      </w:r>
      <w:r w:rsidR="00DF35C9">
        <w:t xml:space="preserve">suivants </w:t>
      </w:r>
      <w:r w:rsidRPr="007435B3">
        <w:t>:</w:t>
      </w:r>
    </w:p>
    <w:p w:rsidR="007E420E" w:rsidRPr="007435B3" w:rsidRDefault="007E420E" w:rsidP="007E420E">
      <w:pPr>
        <w:spacing w:after="0" w:line="240" w:lineRule="auto"/>
        <w:jc w:val="both"/>
      </w:pPr>
    </w:p>
    <w:p w:rsidR="00F941A8" w:rsidRPr="007435B3" w:rsidRDefault="00F941A8" w:rsidP="007E420E">
      <w:pPr>
        <w:pStyle w:val="ListParagraph"/>
        <w:numPr>
          <w:ilvl w:val="0"/>
          <w:numId w:val="9"/>
        </w:numPr>
        <w:spacing w:after="0" w:line="240" w:lineRule="auto"/>
        <w:jc w:val="both"/>
      </w:pPr>
      <w:r w:rsidRPr="007435B3">
        <w:t>Résultat 1 : Les OSC sont en capacité de se positionner dans le jeu d’acteurs, d’être proactives, porteuses de vision</w:t>
      </w:r>
      <w:r w:rsidR="00336290">
        <w:t>, et de travailler en synergie ;</w:t>
      </w:r>
    </w:p>
    <w:p w:rsidR="00815961" w:rsidRPr="007435B3" w:rsidRDefault="00F941A8" w:rsidP="007E420E">
      <w:pPr>
        <w:pStyle w:val="ListParagraph"/>
        <w:numPr>
          <w:ilvl w:val="0"/>
          <w:numId w:val="9"/>
        </w:numPr>
        <w:spacing w:after="0" w:line="240" w:lineRule="auto"/>
        <w:jc w:val="both"/>
      </w:pPr>
      <w:r w:rsidRPr="007435B3">
        <w:t>Résultat 2 :</w:t>
      </w:r>
      <w:r w:rsidR="00815961" w:rsidRPr="007435B3">
        <w:t xml:space="preserve"> La Municipalité de Tripoli est en capacité de se positionner en relation avec les OSC, et de mettre en œuvre son mandat pour faire face aux crises sur son aire d’influence ;</w:t>
      </w:r>
    </w:p>
    <w:p w:rsidR="00F941A8" w:rsidRDefault="00F941A8" w:rsidP="007E420E">
      <w:pPr>
        <w:pStyle w:val="ListParagraph"/>
        <w:numPr>
          <w:ilvl w:val="0"/>
          <w:numId w:val="9"/>
        </w:numPr>
        <w:spacing w:after="0" w:line="240" w:lineRule="auto"/>
        <w:jc w:val="both"/>
      </w:pPr>
      <w:r w:rsidRPr="007435B3">
        <w:t>Résultat 3 :</w:t>
      </w:r>
      <w:r w:rsidR="00815961" w:rsidRPr="007435B3">
        <w:t xml:space="preserve"> Un dispositif paritaire réunissant les acteurs locaux publics/privés/associatifs est structuré pour faire face aux crises</w:t>
      </w:r>
      <w:r w:rsidR="00336290">
        <w:t>.</w:t>
      </w:r>
    </w:p>
    <w:p w:rsidR="00836DAD" w:rsidRPr="007435B3" w:rsidRDefault="00836DAD" w:rsidP="000C261B">
      <w:pPr>
        <w:pStyle w:val="Default"/>
        <w:jc w:val="both"/>
        <w:rPr>
          <w:rFonts w:asciiTheme="minorHAnsi" w:hAnsiTheme="minorHAnsi" w:cstheme="minorBidi"/>
          <w:bCs/>
          <w:color w:val="auto"/>
          <w:sz w:val="22"/>
          <w:szCs w:val="22"/>
        </w:rPr>
      </w:pPr>
    </w:p>
    <w:p w:rsidR="00836DAD" w:rsidRPr="008019E1" w:rsidRDefault="00DF35C9" w:rsidP="00543667">
      <w:pPr>
        <w:pStyle w:val="Heading2"/>
        <w:numPr>
          <w:ilvl w:val="0"/>
          <w:numId w:val="13"/>
        </w:numPr>
        <w:jc w:val="both"/>
        <w:rPr>
          <w:b/>
          <w:bCs/>
          <w:sz w:val="24"/>
          <w:szCs w:val="24"/>
        </w:rPr>
      </w:pPr>
      <w:r w:rsidRPr="008019E1">
        <w:rPr>
          <w:b/>
          <w:bCs/>
          <w:sz w:val="24"/>
          <w:szCs w:val="24"/>
        </w:rPr>
        <w:t xml:space="preserve">Objet de l’Appel à Manifestation d’Intérêt </w:t>
      </w:r>
    </w:p>
    <w:p w:rsidR="000C261B" w:rsidRPr="00272592" w:rsidRDefault="000C261B" w:rsidP="00272592">
      <w:pPr>
        <w:pStyle w:val="Default"/>
        <w:ind w:left="720"/>
        <w:jc w:val="both"/>
        <w:rPr>
          <w:b/>
          <w:bCs/>
          <w:sz w:val="22"/>
          <w:szCs w:val="22"/>
        </w:rPr>
      </w:pPr>
    </w:p>
    <w:p w:rsidR="000C261B" w:rsidRDefault="00651506" w:rsidP="00595F74">
      <w:pPr>
        <w:jc w:val="both"/>
      </w:pPr>
      <w:r>
        <w:t>A travers cet appel à manifestation d’intérêt, le Consortium souhaite</w:t>
      </w:r>
      <w:r w:rsidR="00A815F4">
        <w:t xml:space="preserve"> proposer aux Organisations de la Société Civile (OSC) </w:t>
      </w:r>
      <w:r w:rsidR="00A815F4" w:rsidRPr="00484B21">
        <w:t xml:space="preserve">intervenant </w:t>
      </w:r>
      <w:r w:rsidR="00595F74" w:rsidRPr="00484B21">
        <w:t>dans le district</w:t>
      </w:r>
      <w:r w:rsidR="000C261B" w:rsidRPr="00484B21">
        <w:t xml:space="preserve"> de Tripoli de</w:t>
      </w:r>
      <w:r w:rsidR="000C261B">
        <w:t xml:space="preserve"> bénéficier des activités prévues dans le cadre du projet</w:t>
      </w:r>
      <w:r w:rsidR="00A815F4">
        <w:t xml:space="preserve">. </w:t>
      </w:r>
      <w:r w:rsidR="00272592">
        <w:t xml:space="preserve">Les activités présentées </w:t>
      </w:r>
      <w:r w:rsidR="000B46CA">
        <w:t xml:space="preserve">ci-dessous </w:t>
      </w:r>
      <w:r w:rsidR="00272592">
        <w:t>sont susceptibles d’évoluer en fonction des résultats de la mission de diagnostic conduite en début de projet.</w:t>
      </w:r>
    </w:p>
    <w:p w:rsidR="00FD4933" w:rsidRPr="007961B1" w:rsidRDefault="00E74F3A" w:rsidP="00223531">
      <w:pPr>
        <w:jc w:val="both"/>
      </w:pPr>
      <w:r>
        <w:t>Le résultat 1 du projet comprend à la fois des activités de renforcement collectives (ciblant un groupe d’organisations) et individuelles (cib</w:t>
      </w:r>
      <w:r w:rsidR="00D10819">
        <w:t>l</w:t>
      </w:r>
      <w:r>
        <w:t xml:space="preserve">ant chaque OSC individuellement). </w:t>
      </w:r>
    </w:p>
    <w:p w:rsidR="00FD4933" w:rsidRPr="00272592" w:rsidRDefault="00FD4933" w:rsidP="00272592">
      <w:pPr>
        <w:jc w:val="both"/>
        <w:rPr>
          <w:rFonts w:asciiTheme="majorBidi" w:hAnsiTheme="majorBidi" w:cstheme="majorBidi"/>
          <w:b/>
          <w:bCs/>
          <w:i/>
          <w:iCs/>
        </w:rPr>
      </w:pPr>
      <w:r w:rsidRPr="00930C05">
        <w:rPr>
          <w:rFonts w:asciiTheme="majorBidi" w:hAnsiTheme="majorBidi" w:cstheme="majorBidi"/>
          <w:b/>
          <w:bCs/>
          <w:i/>
          <w:iCs/>
        </w:rPr>
        <w:t>Appui à la formalisation et la structuration d’un réseau d’OSC</w:t>
      </w:r>
    </w:p>
    <w:p w:rsidR="00FD4933" w:rsidRPr="00C94984" w:rsidRDefault="00FD4933" w:rsidP="00C94984">
      <w:pPr>
        <w:autoSpaceDE w:val="0"/>
        <w:autoSpaceDN w:val="0"/>
        <w:adjustRightInd w:val="0"/>
        <w:jc w:val="both"/>
        <w:rPr>
          <w:rFonts w:eastAsia="Times New Roman" w:cs="Times New Roman"/>
          <w:lang w:eastAsia="fr-FR"/>
        </w:rPr>
      </w:pPr>
      <w:r w:rsidRPr="006123A1">
        <w:rPr>
          <w:rFonts w:eastAsia="Times New Roman" w:cs="Times New Roman"/>
          <w:lang w:eastAsia="fr-FR"/>
        </w:rPr>
        <w:t xml:space="preserve">Au total 30 OSC du territoire tripolitain seront ciblées par le projet. Pour que les OSC soient plus fortes collectivement, le projet prévoit un appui à la formalisation d’un système de coordination territorial </w:t>
      </w:r>
      <w:r w:rsidRPr="00B637C7">
        <w:rPr>
          <w:rFonts w:eastAsia="Times New Roman" w:cs="Times New Roman"/>
          <w:lang w:eastAsia="fr-FR"/>
        </w:rPr>
        <w:t xml:space="preserve">entre elles dans un premier temps. </w:t>
      </w:r>
      <w:r w:rsidRPr="006123A1">
        <w:t>L’activité 1.1 sera lancée dès le début du projet. Néanmoins, ce travail se consolidera tout au long de la durée du projet, étant entendu que l’état de « maturité du réseau » sera différent au début et à la fin du projet et dépendra de la mise en place des activités de renforcement des OSC.</w:t>
      </w:r>
      <w:r w:rsidR="00966E5A">
        <w:t xml:space="preserve"> </w:t>
      </w:r>
      <w:r w:rsidR="00966E5A">
        <w:rPr>
          <w:rFonts w:eastAsia="Times New Roman" w:cs="Times New Roman"/>
          <w:lang w:eastAsia="fr-FR"/>
        </w:rPr>
        <w:t xml:space="preserve">Cette activité comprend également l’appui à l’élaboration d’une stratégie </w:t>
      </w:r>
      <w:r w:rsidR="00C94984">
        <w:rPr>
          <w:rFonts w:eastAsia="Times New Roman" w:cs="Times New Roman"/>
          <w:lang w:eastAsia="fr-FR"/>
        </w:rPr>
        <w:t>collective de plaidoyer pour aider les</w:t>
      </w:r>
      <w:r w:rsidR="00966E5A">
        <w:rPr>
          <w:rFonts w:eastAsia="Times New Roman" w:cs="Times New Roman"/>
          <w:lang w:eastAsia="fr-FR"/>
        </w:rPr>
        <w:t xml:space="preserve"> OSC ciblées de se positionner dans le jeu d’acteurs </w:t>
      </w:r>
      <w:r w:rsidR="00966E5A" w:rsidRPr="006123A1">
        <w:rPr>
          <w:rFonts w:eastAsia="Times New Roman" w:cs="Times New Roman"/>
          <w:lang w:eastAsia="fr-FR"/>
        </w:rPr>
        <w:t xml:space="preserve">impliqués dans la préparation et la réponse aux crises sur leur territoire, d’être reconnues et de se faire entendre. Cette stratégie permettra aux OSC de renforcer leurs capacités collectives de plaidoyer, et leur leadership. </w:t>
      </w:r>
    </w:p>
    <w:p w:rsidR="00FD4933" w:rsidRDefault="00223531" w:rsidP="00FD4933">
      <w:pPr>
        <w:jc w:val="both"/>
        <w:rPr>
          <w:rFonts w:asciiTheme="majorBidi" w:hAnsiTheme="majorBidi" w:cstheme="majorBidi"/>
          <w:b/>
          <w:bCs/>
          <w:i/>
          <w:iCs/>
        </w:rPr>
      </w:pPr>
      <w:r>
        <w:rPr>
          <w:rFonts w:asciiTheme="majorBidi" w:hAnsiTheme="majorBidi" w:cstheme="majorBidi"/>
          <w:b/>
          <w:bCs/>
          <w:i/>
          <w:iCs/>
        </w:rPr>
        <w:t>Appui à la réalisation d’a</w:t>
      </w:r>
      <w:r w:rsidR="00FD4933" w:rsidRPr="00F435B0">
        <w:rPr>
          <w:rFonts w:asciiTheme="majorBidi" w:hAnsiTheme="majorBidi" w:cstheme="majorBidi"/>
          <w:b/>
          <w:bCs/>
          <w:i/>
          <w:iCs/>
        </w:rPr>
        <w:t>utodiagnostic</w:t>
      </w:r>
      <w:r>
        <w:rPr>
          <w:rFonts w:asciiTheme="majorBidi" w:hAnsiTheme="majorBidi" w:cstheme="majorBidi"/>
          <w:b/>
          <w:bCs/>
          <w:i/>
          <w:iCs/>
        </w:rPr>
        <w:t>s</w:t>
      </w:r>
      <w:r w:rsidR="00FD4933" w:rsidRPr="00F435B0">
        <w:rPr>
          <w:rFonts w:asciiTheme="majorBidi" w:hAnsiTheme="majorBidi" w:cstheme="majorBidi"/>
          <w:b/>
          <w:bCs/>
          <w:i/>
          <w:iCs/>
        </w:rPr>
        <w:t xml:space="preserve"> des capacités des OSC</w:t>
      </w:r>
    </w:p>
    <w:p w:rsidR="00FD4933" w:rsidRPr="005162C8" w:rsidRDefault="00FD4933" w:rsidP="005162C8">
      <w:pPr>
        <w:jc w:val="both"/>
      </w:pPr>
      <w:r>
        <w:rPr>
          <w:rFonts w:eastAsia="Times New Roman" w:cs="Times New Roman"/>
          <w:lang w:eastAsia="fr-FR"/>
        </w:rPr>
        <w:t xml:space="preserve">Afin que les OSC ciblées puissent apporter leur propre contribution à la prévention et la réponse aux crises susceptibles de se produire sur leur territoire, le projet mettra à leur disposition un outil </w:t>
      </w:r>
      <w:r>
        <w:rPr>
          <w:rFonts w:eastAsia="Times New Roman" w:cs="Times New Roman"/>
          <w:lang w:eastAsia="fr-FR"/>
        </w:rPr>
        <w:lastRenderedPageBreak/>
        <w:t xml:space="preserve">d’autodiagnostic des capacités, et les accompagnera dans la réalisation de cet autodiagnostic. </w:t>
      </w:r>
      <w:r>
        <w:t>L’autodiagnostic sera réalisé à partir de l’</w:t>
      </w:r>
      <w:r w:rsidRPr="00F76895">
        <w:rPr>
          <w:rFonts w:eastAsia="Times New Roman" w:cs="Times New Roman"/>
          <w:lang w:eastAsia="fr-FR"/>
        </w:rPr>
        <w:t xml:space="preserve">analyse </w:t>
      </w:r>
      <w:r w:rsidRPr="00B637C7">
        <w:rPr>
          <w:rFonts w:eastAsia="Times New Roman" w:cs="Times New Roman"/>
          <w:lang w:eastAsia="fr-FR"/>
        </w:rPr>
        <w:t>des capacités spécifiques à l’OSC, mais également à partir d'éléments externes influençant sa capacité d'action (capacités des autres acteurs locaux, systèmes de coordination, etc.).</w:t>
      </w:r>
      <w:r w:rsidRPr="00B637C7">
        <w:t xml:space="preserve"> Par ailleurs, </w:t>
      </w:r>
      <w:r w:rsidRPr="00B637C7">
        <w:rPr>
          <w:rFonts w:eastAsia="Times New Roman" w:cs="Times New Roman"/>
          <w:lang w:eastAsia="fr-FR"/>
        </w:rPr>
        <w:t xml:space="preserve">l’outil a été conçu de manière à ce que chaque OSC ciblée réalise elle-même son diagnostic, en recourant à un appui externe limité, et qu’elle soit en mesure de procéder régulièrement à son autodiagnostic, en dehors de la durée du projet (en cas d’évolution de la situation par exemple). </w:t>
      </w:r>
    </w:p>
    <w:p w:rsidR="00FD4933" w:rsidRDefault="00FD4933" w:rsidP="00FD4933">
      <w:pPr>
        <w:jc w:val="both"/>
        <w:rPr>
          <w:rFonts w:asciiTheme="majorBidi" w:hAnsiTheme="majorBidi" w:cstheme="majorBidi"/>
          <w:b/>
          <w:bCs/>
          <w:i/>
          <w:iCs/>
        </w:rPr>
      </w:pPr>
      <w:r w:rsidRPr="00930C05">
        <w:rPr>
          <w:rFonts w:asciiTheme="majorBidi" w:hAnsiTheme="majorBidi" w:cstheme="majorBidi"/>
          <w:b/>
          <w:bCs/>
          <w:i/>
          <w:iCs/>
        </w:rPr>
        <w:t>Appui à l’élaboration de plans de renforcement des capacités de chaque OSC en fonction des priorités dégagées par l’autodiagnostic</w:t>
      </w:r>
    </w:p>
    <w:p w:rsidR="00FD4933" w:rsidRPr="0061326D" w:rsidRDefault="00FD4933" w:rsidP="0061326D">
      <w:pPr>
        <w:jc w:val="both"/>
      </w:pPr>
      <w:r>
        <w:rPr>
          <w:rFonts w:eastAsia="Times New Roman" w:cs="Times New Roman"/>
          <w:lang w:eastAsia="fr-FR"/>
        </w:rPr>
        <w:t xml:space="preserve">L’outil d’autodiagnostic permettra à chaque OSC ciblée de dégager ses propres axes prioritaires de renforcement. Les partenaires du projet accompagneront ensuite les OSC dans l’élaboration de leurs plans de renforcement </w:t>
      </w:r>
      <w:r w:rsidRPr="006123A1">
        <w:rPr>
          <w:rFonts w:eastAsia="Times New Roman" w:cs="Times New Roman"/>
          <w:lang w:eastAsia="fr-FR"/>
        </w:rPr>
        <w:t xml:space="preserve">respectifs. </w:t>
      </w:r>
      <w:r>
        <w:t xml:space="preserve">D’une manière générale, ce type de plans de renforcement est habituellement </w:t>
      </w:r>
      <w:r>
        <w:rPr>
          <w:rFonts w:eastAsia="Times New Roman" w:cs="Times New Roman"/>
          <w:lang w:eastAsia="fr-FR"/>
        </w:rPr>
        <w:t>orienté</w:t>
      </w:r>
      <w:r w:rsidRPr="00255013">
        <w:rPr>
          <w:rFonts w:eastAsia="Times New Roman" w:cs="Times New Roman"/>
          <w:lang w:eastAsia="fr-FR"/>
        </w:rPr>
        <w:t xml:space="preserve"> en fonction d’une vision des </w:t>
      </w:r>
      <w:r w:rsidRPr="00AE33F8">
        <w:rPr>
          <w:rFonts w:eastAsia="Times New Roman" w:cs="Times New Roman"/>
          <w:lang w:eastAsia="fr-FR"/>
        </w:rPr>
        <w:t xml:space="preserve">acteurs locaux comme des partenaires de mise en œuvre des ONG Internationales ou des services centraux des </w:t>
      </w:r>
      <w:r w:rsidRPr="00B637C7">
        <w:rPr>
          <w:rFonts w:eastAsia="Times New Roman" w:cs="Times New Roman"/>
          <w:lang w:eastAsia="fr-FR"/>
        </w:rPr>
        <w:t>ministères. Ici il s’agira de créer un espace o</w:t>
      </w:r>
      <w:r w:rsidR="0061326D">
        <w:rPr>
          <w:rFonts w:eastAsia="Times New Roman" w:cs="Times New Roman"/>
          <w:lang w:eastAsia="fr-FR"/>
        </w:rPr>
        <w:t>ù les OSC locales concevront elles</w:t>
      </w:r>
      <w:r w:rsidRPr="00B637C7">
        <w:rPr>
          <w:rFonts w:eastAsia="Times New Roman" w:cs="Times New Roman"/>
          <w:lang w:eastAsia="fr-FR"/>
        </w:rPr>
        <w:t>-mêmes leurs plans de renforcement à pa</w:t>
      </w:r>
      <w:r w:rsidR="0061326D">
        <w:rPr>
          <w:rFonts w:eastAsia="Times New Roman" w:cs="Times New Roman"/>
          <w:lang w:eastAsia="fr-FR"/>
        </w:rPr>
        <w:t xml:space="preserve">rtir des axes prioritaires dont </w:t>
      </w:r>
      <w:r w:rsidR="000B46CA">
        <w:rPr>
          <w:rFonts w:eastAsia="Times New Roman" w:cs="Times New Roman"/>
          <w:lang w:eastAsia="fr-FR"/>
        </w:rPr>
        <w:t>elle</w:t>
      </w:r>
      <w:r w:rsidRPr="00B637C7">
        <w:rPr>
          <w:rFonts w:eastAsia="Times New Roman" w:cs="Times New Roman"/>
          <w:lang w:eastAsia="fr-FR"/>
        </w:rPr>
        <w:t xml:space="preserve">s auront décidé, et non à partir de priorités décidées pour eux par des partenaires externes. </w:t>
      </w:r>
    </w:p>
    <w:p w:rsidR="00FD4933" w:rsidRDefault="00FD4933" w:rsidP="00FD4933">
      <w:pPr>
        <w:jc w:val="both"/>
        <w:rPr>
          <w:rFonts w:asciiTheme="majorBidi" w:hAnsiTheme="majorBidi" w:cstheme="majorBidi"/>
          <w:b/>
          <w:bCs/>
          <w:i/>
          <w:iCs/>
        </w:rPr>
      </w:pPr>
      <w:r>
        <w:rPr>
          <w:rFonts w:asciiTheme="majorBidi" w:hAnsiTheme="majorBidi" w:cstheme="majorBidi"/>
          <w:b/>
          <w:bCs/>
          <w:i/>
          <w:iCs/>
        </w:rPr>
        <w:t>Appui à la m</w:t>
      </w:r>
      <w:r w:rsidRPr="00930C05">
        <w:rPr>
          <w:rFonts w:asciiTheme="majorBidi" w:hAnsiTheme="majorBidi" w:cstheme="majorBidi"/>
          <w:b/>
          <w:bCs/>
          <w:i/>
          <w:iCs/>
        </w:rPr>
        <w:t>ise en œuvre opérationnelle des plans de renforcement des OSC </w:t>
      </w:r>
    </w:p>
    <w:p w:rsidR="00FD4933" w:rsidRDefault="00FD4933" w:rsidP="00484B21">
      <w:pPr>
        <w:jc w:val="both"/>
        <w:rPr>
          <w:rFonts w:eastAsia="Times New Roman"/>
        </w:rPr>
      </w:pPr>
      <w:r w:rsidRPr="006123A1">
        <w:rPr>
          <w:rFonts w:eastAsia="Times New Roman"/>
        </w:rPr>
        <w:t>Les priorités dégagées par l’analyse des plans de renforcement seront traduites dans une proposition chiffrée de listes d’actions prioritaires de renforcement à financer dans le cadre du projet. Cette proposition sera validée par le Comité de Pilotage et le Comité Consultatif du projet.  Il pourra s’agir du type d’activités de renforcement suivantes : formation-action, échanges entre pairs, développement de modèles économiques, développement de stratégies RH, recrutement, coaching, élaboration de référentiels (pr</w:t>
      </w:r>
      <w:r w:rsidR="00A07ADE">
        <w:rPr>
          <w:rFonts w:eastAsia="Times New Roman"/>
        </w:rPr>
        <w:t xml:space="preserve">océdures, etc.), développement </w:t>
      </w:r>
      <w:r w:rsidRPr="006123A1">
        <w:rPr>
          <w:rFonts w:eastAsia="Times New Roman"/>
        </w:rPr>
        <w:t>d’actions de plaidoyer, suivi accompagnement (par exemple dans la recherche de financement, ou l’élaboration de projets), etc. Le projet permettra d’appuyer la réalisation d’actions prioritaires prévues dans les plans de renforcement des OSC</w:t>
      </w:r>
      <w:r w:rsidRPr="0061326D">
        <w:rPr>
          <w:rFonts w:eastAsia="Times New Roman"/>
        </w:rPr>
        <w:t xml:space="preserve">. </w:t>
      </w:r>
    </w:p>
    <w:p w:rsidR="00223531" w:rsidRDefault="00223531" w:rsidP="00966E5A">
      <w:pPr>
        <w:jc w:val="both"/>
        <w:rPr>
          <w:rFonts w:asciiTheme="majorBidi" w:hAnsiTheme="majorBidi" w:cstheme="majorBidi"/>
          <w:b/>
          <w:bCs/>
          <w:i/>
          <w:iCs/>
        </w:rPr>
      </w:pPr>
      <w:r w:rsidRPr="00930C05">
        <w:rPr>
          <w:rFonts w:asciiTheme="majorBidi" w:hAnsiTheme="majorBidi" w:cstheme="majorBidi"/>
          <w:b/>
          <w:bCs/>
          <w:i/>
          <w:iCs/>
        </w:rPr>
        <w:t xml:space="preserve">Appui à </w:t>
      </w:r>
      <w:r w:rsidR="00966E5A">
        <w:rPr>
          <w:rFonts w:asciiTheme="majorBidi" w:hAnsiTheme="majorBidi" w:cstheme="majorBidi"/>
          <w:b/>
          <w:bCs/>
          <w:i/>
          <w:iCs/>
        </w:rPr>
        <w:t xml:space="preserve">l’évaluation de la capacité </w:t>
      </w:r>
      <w:r w:rsidRPr="00930C05">
        <w:rPr>
          <w:rFonts w:asciiTheme="majorBidi" w:hAnsiTheme="majorBidi" w:cstheme="majorBidi"/>
          <w:b/>
          <w:bCs/>
          <w:i/>
          <w:iCs/>
        </w:rPr>
        <w:t>collective des OSC</w:t>
      </w:r>
    </w:p>
    <w:p w:rsidR="00223531" w:rsidRPr="00272592" w:rsidRDefault="00223531" w:rsidP="005461A5">
      <w:pPr>
        <w:autoSpaceDE w:val="0"/>
        <w:autoSpaceDN w:val="0"/>
        <w:adjustRightInd w:val="0"/>
        <w:jc w:val="both"/>
        <w:rPr>
          <w:rFonts w:eastAsia="Times New Roman" w:cs="Times New Roman"/>
          <w:lang w:eastAsia="fr-FR"/>
        </w:rPr>
      </w:pPr>
      <w:r>
        <w:rPr>
          <w:rFonts w:eastAsia="Times New Roman" w:cs="Times New Roman"/>
          <w:lang w:eastAsia="fr-FR"/>
        </w:rPr>
        <w:t xml:space="preserve">Le projet appuiera les OSC du territoire tripolitain à </w:t>
      </w:r>
      <w:r w:rsidR="00966E5A">
        <w:rPr>
          <w:rFonts w:eastAsia="Times New Roman" w:cs="Times New Roman"/>
          <w:lang w:eastAsia="fr-FR"/>
        </w:rPr>
        <w:t>évaluer leur capacité collective</w:t>
      </w:r>
      <w:r w:rsidR="005461A5">
        <w:rPr>
          <w:rFonts w:eastAsia="Times New Roman" w:cs="Times New Roman"/>
          <w:lang w:eastAsia="fr-FR"/>
        </w:rPr>
        <w:t xml:space="preserve"> </w:t>
      </w:r>
      <w:r w:rsidR="005461A5" w:rsidRPr="006123A1">
        <w:rPr>
          <w:rFonts w:eastAsia="Times New Roman" w:cs="Times New Roman"/>
          <w:lang w:eastAsia="fr-FR"/>
        </w:rPr>
        <w:t xml:space="preserve">à partir de </w:t>
      </w:r>
      <w:r w:rsidR="005461A5">
        <w:rPr>
          <w:rFonts w:eastAsia="Times New Roman" w:cs="Times New Roman"/>
          <w:lang w:eastAsia="fr-FR"/>
        </w:rPr>
        <w:t>l’analyse du contexte et des résultats des autodiagnostics réalisés par les OSC</w:t>
      </w:r>
      <w:r w:rsidR="005461A5" w:rsidRPr="006123A1">
        <w:rPr>
          <w:rFonts w:eastAsia="Times New Roman" w:cs="Times New Roman"/>
          <w:lang w:eastAsia="fr-FR"/>
        </w:rPr>
        <w:t>.</w:t>
      </w:r>
      <w:r w:rsidR="005461A5" w:rsidRPr="008C726F">
        <w:rPr>
          <w:rFonts w:eastAsia="Times New Roman" w:cs="Times New Roman"/>
          <w:lang w:eastAsia="fr-FR"/>
        </w:rPr>
        <w:t xml:space="preserve"> </w:t>
      </w:r>
      <w:r w:rsidR="005461A5">
        <w:rPr>
          <w:rFonts w:eastAsia="Times New Roman" w:cs="Times New Roman"/>
          <w:lang w:eastAsia="fr-FR"/>
        </w:rPr>
        <w:t>L’analyse de la capacité collective aboutira à l’élaboration d’un plan de renforcement collectif</w:t>
      </w:r>
      <w:r w:rsidR="00966E5A">
        <w:rPr>
          <w:rFonts w:eastAsia="Times New Roman" w:cs="Times New Roman"/>
          <w:lang w:eastAsia="fr-FR"/>
        </w:rPr>
        <w:t xml:space="preserve">. </w:t>
      </w:r>
    </w:p>
    <w:p w:rsidR="005461A5" w:rsidRDefault="005461A5" w:rsidP="007D2044">
      <w:pPr>
        <w:jc w:val="both"/>
        <w:rPr>
          <w:rFonts w:asciiTheme="majorBidi" w:hAnsiTheme="majorBidi" w:cstheme="majorBidi"/>
          <w:b/>
          <w:bCs/>
          <w:i/>
          <w:iCs/>
        </w:rPr>
      </w:pPr>
      <w:r>
        <w:rPr>
          <w:rFonts w:asciiTheme="majorBidi" w:hAnsiTheme="majorBidi" w:cstheme="majorBidi"/>
          <w:b/>
          <w:bCs/>
          <w:i/>
          <w:iCs/>
        </w:rPr>
        <w:t>Appui à la m</w:t>
      </w:r>
      <w:r w:rsidRPr="00930C05">
        <w:rPr>
          <w:rFonts w:asciiTheme="majorBidi" w:hAnsiTheme="majorBidi" w:cstheme="majorBidi"/>
          <w:b/>
          <w:bCs/>
          <w:i/>
          <w:iCs/>
        </w:rPr>
        <w:t xml:space="preserve">ise en œuvre opérationnelle </w:t>
      </w:r>
      <w:r w:rsidR="007D2044">
        <w:rPr>
          <w:rFonts w:asciiTheme="majorBidi" w:hAnsiTheme="majorBidi" w:cstheme="majorBidi"/>
          <w:b/>
          <w:bCs/>
          <w:i/>
          <w:iCs/>
        </w:rPr>
        <w:t xml:space="preserve">d’actions collectives </w:t>
      </w:r>
    </w:p>
    <w:p w:rsidR="00223531" w:rsidRPr="005162C8" w:rsidRDefault="00223531" w:rsidP="007D2044">
      <w:pPr>
        <w:jc w:val="both"/>
        <w:rPr>
          <w:sz w:val="20"/>
        </w:rPr>
      </w:pPr>
      <w:bookmarkStart w:id="0" w:name="_GoBack"/>
      <w:r w:rsidRPr="006123A1">
        <w:t xml:space="preserve">L’accès aux financements étant une condition d’autonomisation des OSC, le projet organisera la mise en place d’un système de micro-financement afin </w:t>
      </w:r>
      <w:r w:rsidR="007D2044">
        <w:t>d’accompagner la mise en œuvre d’actions collectives de renforcement</w:t>
      </w:r>
      <w:r w:rsidRPr="006123A1">
        <w:t xml:space="preserve">. </w:t>
      </w:r>
    </w:p>
    <w:p w:rsidR="007D2044" w:rsidRDefault="007D2044" w:rsidP="00484B21">
      <w:pPr>
        <w:jc w:val="both"/>
        <w:rPr>
          <w:rFonts w:asciiTheme="majorBidi" w:hAnsiTheme="majorBidi" w:cstheme="majorBidi"/>
        </w:rPr>
      </w:pPr>
    </w:p>
    <w:p w:rsidR="007D2044" w:rsidRPr="007D2044" w:rsidRDefault="007D2044" w:rsidP="00484B21">
      <w:pPr>
        <w:jc w:val="both"/>
      </w:pPr>
      <w:r w:rsidRPr="007D2044">
        <w:t>Une enveloppe globale de 230 000 € permettra de financer la mise en œuvre des plans de renforcement individuels des OSC ainsi que des actions collectives.</w:t>
      </w:r>
    </w:p>
    <w:p w:rsidR="005D2638" w:rsidRDefault="005D2638" w:rsidP="004028C9">
      <w:pPr>
        <w:pStyle w:val="Default"/>
        <w:jc w:val="both"/>
        <w:rPr>
          <w:bCs/>
          <w:sz w:val="22"/>
          <w:szCs w:val="22"/>
        </w:rPr>
      </w:pPr>
    </w:p>
    <w:p w:rsidR="005E459B" w:rsidRPr="004E648F" w:rsidRDefault="0061326D" w:rsidP="004E648F">
      <w:pPr>
        <w:jc w:val="both"/>
        <w:rPr>
          <w:lang w:eastAsia="fr-FR"/>
        </w:rPr>
      </w:pPr>
      <w:r w:rsidRPr="004146A7">
        <w:rPr>
          <w:lang w:eastAsia="fr-FR"/>
        </w:rPr>
        <w:t xml:space="preserve">Au-delà des activités prévues dans le cadre du résultat 1, les OSC pourront également être impliquées </w:t>
      </w:r>
      <w:r w:rsidR="00A5755C">
        <w:rPr>
          <w:lang w:eastAsia="fr-FR"/>
        </w:rPr>
        <w:t xml:space="preserve">dans d’autres activités de coordination avec les autres acteurs présents sur le territoire de Tripoli </w:t>
      </w:r>
      <w:r w:rsidR="00A5755C">
        <w:rPr>
          <w:lang w:eastAsia="fr-FR"/>
        </w:rPr>
        <w:lastRenderedPageBreak/>
        <w:t>(Municipalité par exemple). Les OSC pourront notamment être parties prenantes dans la définition et</w:t>
      </w:r>
      <w:r w:rsidRPr="004146A7">
        <w:rPr>
          <w:lang w:eastAsia="fr-FR"/>
        </w:rPr>
        <w:t xml:space="preserve"> </w:t>
      </w:r>
      <w:r w:rsidR="00561C45" w:rsidRPr="004146A7">
        <w:rPr>
          <w:lang w:eastAsia="fr-FR"/>
        </w:rPr>
        <w:t>la mise en place d’un mécanisme de coordination paritaire local de réponse aux crises</w:t>
      </w:r>
      <w:bookmarkStart w:id="1" w:name="_Toc501705589"/>
      <w:bookmarkStart w:id="2" w:name="_Toc504669151"/>
      <w:bookmarkStart w:id="3" w:name="_Toc505088799"/>
      <w:bookmarkStart w:id="4" w:name="_Toc505156471"/>
      <w:bookmarkStart w:id="5" w:name="_Toc505185184"/>
      <w:r w:rsidR="004146A7">
        <w:rPr>
          <w:lang w:eastAsia="fr-FR"/>
        </w:rPr>
        <w:t>. Cette</w:t>
      </w:r>
      <w:r w:rsidR="00561C45">
        <w:rPr>
          <w:lang w:eastAsia="fr-FR"/>
        </w:rPr>
        <w:t xml:space="preserve"> activité répond à la nécessité d’une réponse collective et coordonnée sur le territoire de Tripoli</w:t>
      </w:r>
      <w:bookmarkEnd w:id="1"/>
      <w:bookmarkEnd w:id="2"/>
      <w:bookmarkEnd w:id="3"/>
      <w:bookmarkEnd w:id="4"/>
      <w:bookmarkEnd w:id="5"/>
      <w:r w:rsidR="004146A7">
        <w:rPr>
          <w:lang w:eastAsia="fr-FR"/>
        </w:rPr>
        <w:t>.</w:t>
      </w:r>
      <w:bookmarkStart w:id="6" w:name="_Toc501705590"/>
      <w:bookmarkStart w:id="7" w:name="_Toc504669152"/>
      <w:bookmarkStart w:id="8" w:name="_Toc505088800"/>
      <w:bookmarkStart w:id="9" w:name="_Toc505156472"/>
      <w:bookmarkStart w:id="10" w:name="_Toc505185185"/>
      <w:r w:rsidR="004146A7">
        <w:rPr>
          <w:lang w:eastAsia="fr-FR"/>
        </w:rPr>
        <w:t xml:space="preserve"> </w:t>
      </w:r>
      <w:r w:rsidR="00561C45">
        <w:rPr>
          <w:lang w:eastAsia="fr-FR"/>
        </w:rPr>
        <w:t xml:space="preserve">La mise en place d’un dispositif paritaire permettra de garantir que les acteurs, dans leur diversité (acteurs privés, publics, associatifs intervenant autant dans le domaine économique et social </w:t>
      </w:r>
      <w:r w:rsidR="00561C45" w:rsidRPr="00B637C7">
        <w:rPr>
          <w:lang w:eastAsia="fr-FR"/>
        </w:rPr>
        <w:t xml:space="preserve">qu’humanitaire), construisent une compréhension commune des besoins et des risques sur leur territoire. </w:t>
      </w:r>
      <w:bookmarkEnd w:id="6"/>
      <w:bookmarkEnd w:id="7"/>
      <w:bookmarkEnd w:id="8"/>
      <w:bookmarkEnd w:id="9"/>
      <w:bookmarkEnd w:id="10"/>
    </w:p>
    <w:bookmarkEnd w:id="0"/>
    <w:p w:rsidR="00812B55" w:rsidRPr="00812B55" w:rsidRDefault="00812B55" w:rsidP="00812B55">
      <w:pPr>
        <w:pStyle w:val="ListParagraph"/>
        <w:keepNext/>
        <w:keepLines/>
        <w:numPr>
          <w:ilvl w:val="0"/>
          <w:numId w:val="15"/>
        </w:numPr>
        <w:spacing w:before="40" w:after="0"/>
        <w:contextualSpacing w:val="0"/>
        <w:outlineLvl w:val="1"/>
        <w:rPr>
          <w:rFonts w:asciiTheme="majorHAnsi" w:eastAsiaTheme="majorEastAsia" w:hAnsiTheme="majorHAnsi" w:cstheme="majorBidi"/>
          <w:b/>
          <w:bCs/>
          <w:vanish/>
          <w:color w:val="2E74B5" w:themeColor="accent1" w:themeShade="BF"/>
          <w:sz w:val="24"/>
          <w:szCs w:val="24"/>
        </w:rPr>
      </w:pPr>
    </w:p>
    <w:p w:rsidR="00812B55" w:rsidRPr="00812B55" w:rsidRDefault="00812B55" w:rsidP="00812B55">
      <w:pPr>
        <w:pStyle w:val="ListParagraph"/>
        <w:keepNext/>
        <w:keepLines/>
        <w:numPr>
          <w:ilvl w:val="0"/>
          <w:numId w:val="15"/>
        </w:numPr>
        <w:spacing w:before="40" w:after="0"/>
        <w:contextualSpacing w:val="0"/>
        <w:outlineLvl w:val="1"/>
        <w:rPr>
          <w:rFonts w:asciiTheme="majorHAnsi" w:eastAsiaTheme="majorEastAsia" w:hAnsiTheme="majorHAnsi" w:cstheme="majorBidi"/>
          <w:b/>
          <w:bCs/>
          <w:vanish/>
          <w:color w:val="2E74B5" w:themeColor="accent1" w:themeShade="BF"/>
          <w:sz w:val="24"/>
          <w:szCs w:val="24"/>
        </w:rPr>
      </w:pPr>
    </w:p>
    <w:p w:rsidR="00812B55" w:rsidRDefault="00812B55" w:rsidP="00812B55">
      <w:pPr>
        <w:pStyle w:val="Heading2"/>
        <w:numPr>
          <w:ilvl w:val="0"/>
          <w:numId w:val="15"/>
        </w:numPr>
        <w:rPr>
          <w:b/>
          <w:bCs/>
          <w:sz w:val="24"/>
          <w:szCs w:val="24"/>
        </w:rPr>
      </w:pPr>
      <w:r w:rsidRPr="008019E1">
        <w:rPr>
          <w:b/>
          <w:bCs/>
          <w:sz w:val="24"/>
          <w:szCs w:val="24"/>
        </w:rPr>
        <w:t>Critères d’éligibilité</w:t>
      </w:r>
    </w:p>
    <w:p w:rsidR="00533DA0" w:rsidRDefault="00533DA0" w:rsidP="00533DA0">
      <w:pPr>
        <w:pStyle w:val="Default"/>
        <w:jc w:val="both"/>
        <w:rPr>
          <w:bCs/>
          <w:sz w:val="22"/>
          <w:szCs w:val="22"/>
        </w:rPr>
      </w:pPr>
    </w:p>
    <w:p w:rsidR="00533DA0" w:rsidRDefault="00533DA0" w:rsidP="00533DA0">
      <w:pPr>
        <w:pStyle w:val="Default"/>
        <w:jc w:val="both"/>
        <w:rPr>
          <w:bCs/>
          <w:sz w:val="22"/>
          <w:szCs w:val="22"/>
        </w:rPr>
      </w:pPr>
      <w:r>
        <w:rPr>
          <w:bCs/>
          <w:sz w:val="22"/>
          <w:szCs w:val="22"/>
        </w:rPr>
        <w:t>Cet appel à manifestation d’intérêt est ouvert à toute OSC :</w:t>
      </w:r>
    </w:p>
    <w:p w:rsidR="00533DA0" w:rsidRDefault="00533DA0" w:rsidP="00D72F14">
      <w:pPr>
        <w:pStyle w:val="Default"/>
        <w:numPr>
          <w:ilvl w:val="0"/>
          <w:numId w:val="16"/>
        </w:numPr>
        <w:jc w:val="both"/>
        <w:rPr>
          <w:bCs/>
          <w:sz w:val="22"/>
          <w:szCs w:val="22"/>
        </w:rPr>
      </w:pPr>
      <w:r>
        <w:rPr>
          <w:bCs/>
          <w:sz w:val="22"/>
          <w:szCs w:val="22"/>
        </w:rPr>
        <w:t>Enregistrée en tant qu’association auprès du Ministère de l’Intérieur du Liban ;</w:t>
      </w:r>
    </w:p>
    <w:p w:rsidR="00533DA0" w:rsidRDefault="00533DA0" w:rsidP="00D72F14">
      <w:pPr>
        <w:pStyle w:val="Default"/>
        <w:numPr>
          <w:ilvl w:val="0"/>
          <w:numId w:val="16"/>
        </w:numPr>
        <w:jc w:val="both"/>
        <w:rPr>
          <w:bCs/>
          <w:sz w:val="22"/>
          <w:szCs w:val="22"/>
        </w:rPr>
      </w:pPr>
      <w:r>
        <w:rPr>
          <w:bCs/>
          <w:sz w:val="22"/>
          <w:szCs w:val="22"/>
        </w:rPr>
        <w:t>Apolitique ;</w:t>
      </w:r>
    </w:p>
    <w:p w:rsidR="00533DA0" w:rsidRDefault="00533DA0" w:rsidP="00D72F14">
      <w:pPr>
        <w:pStyle w:val="Default"/>
        <w:numPr>
          <w:ilvl w:val="0"/>
          <w:numId w:val="16"/>
        </w:numPr>
        <w:jc w:val="both"/>
        <w:rPr>
          <w:bCs/>
          <w:sz w:val="22"/>
          <w:szCs w:val="22"/>
        </w:rPr>
      </w:pPr>
      <w:r>
        <w:rPr>
          <w:bCs/>
          <w:sz w:val="22"/>
          <w:szCs w:val="22"/>
        </w:rPr>
        <w:t>A but non lucratif ;</w:t>
      </w:r>
    </w:p>
    <w:p w:rsidR="00533DA0" w:rsidRDefault="00533DA0" w:rsidP="00D72F14">
      <w:pPr>
        <w:pStyle w:val="Default"/>
        <w:numPr>
          <w:ilvl w:val="0"/>
          <w:numId w:val="16"/>
        </w:numPr>
        <w:jc w:val="both"/>
        <w:rPr>
          <w:bCs/>
          <w:sz w:val="22"/>
          <w:szCs w:val="22"/>
        </w:rPr>
      </w:pPr>
      <w:r>
        <w:rPr>
          <w:bCs/>
          <w:sz w:val="22"/>
          <w:szCs w:val="22"/>
        </w:rPr>
        <w:t>Opérationnelle dans le district de Tripoli ;</w:t>
      </w:r>
    </w:p>
    <w:p w:rsidR="00D72F14" w:rsidRDefault="00D72F14" w:rsidP="00D72F14">
      <w:pPr>
        <w:pStyle w:val="Default"/>
        <w:numPr>
          <w:ilvl w:val="0"/>
          <w:numId w:val="16"/>
        </w:numPr>
        <w:jc w:val="both"/>
        <w:rPr>
          <w:bCs/>
          <w:sz w:val="22"/>
          <w:szCs w:val="22"/>
        </w:rPr>
      </w:pPr>
      <w:r>
        <w:rPr>
          <w:bCs/>
          <w:sz w:val="22"/>
          <w:szCs w:val="22"/>
        </w:rPr>
        <w:t xml:space="preserve">Justifiant d’une durée d’existence </w:t>
      </w:r>
      <w:r w:rsidR="00A407A4">
        <w:rPr>
          <w:bCs/>
          <w:sz w:val="22"/>
          <w:szCs w:val="22"/>
        </w:rPr>
        <w:t xml:space="preserve">et d’une expérience </w:t>
      </w:r>
      <w:r>
        <w:rPr>
          <w:bCs/>
          <w:sz w:val="22"/>
          <w:szCs w:val="22"/>
        </w:rPr>
        <w:t>d’au moins 3 ans</w:t>
      </w:r>
      <w:r w:rsidR="00A407A4">
        <w:rPr>
          <w:bCs/>
          <w:sz w:val="22"/>
          <w:szCs w:val="22"/>
        </w:rPr>
        <w:t> ;</w:t>
      </w:r>
    </w:p>
    <w:p w:rsidR="00533DA0" w:rsidRPr="00601139" w:rsidRDefault="009B77D4" w:rsidP="00601139">
      <w:pPr>
        <w:pStyle w:val="Default"/>
        <w:numPr>
          <w:ilvl w:val="0"/>
          <w:numId w:val="16"/>
        </w:numPr>
        <w:jc w:val="both"/>
        <w:rPr>
          <w:bCs/>
          <w:sz w:val="22"/>
          <w:szCs w:val="22"/>
        </w:rPr>
      </w:pPr>
      <w:r>
        <w:rPr>
          <w:bCs/>
          <w:sz w:val="22"/>
          <w:szCs w:val="22"/>
        </w:rPr>
        <w:t xml:space="preserve">Employant au minimum 2 salariés </w:t>
      </w:r>
      <w:r w:rsidR="00601139">
        <w:rPr>
          <w:bCs/>
          <w:sz w:val="22"/>
          <w:szCs w:val="22"/>
        </w:rPr>
        <w:t>permanents.</w:t>
      </w:r>
    </w:p>
    <w:p w:rsidR="005E459B" w:rsidRDefault="005E459B" w:rsidP="005E459B">
      <w:pPr>
        <w:pStyle w:val="Default"/>
        <w:jc w:val="both"/>
        <w:rPr>
          <w:bCs/>
          <w:sz w:val="22"/>
          <w:szCs w:val="22"/>
        </w:rPr>
      </w:pPr>
    </w:p>
    <w:p w:rsidR="005E459B" w:rsidRPr="008019E1" w:rsidRDefault="0086272F" w:rsidP="00533DA0">
      <w:pPr>
        <w:pStyle w:val="Heading2"/>
        <w:numPr>
          <w:ilvl w:val="0"/>
          <w:numId w:val="15"/>
        </w:numPr>
        <w:rPr>
          <w:b/>
          <w:bCs/>
          <w:sz w:val="24"/>
          <w:szCs w:val="24"/>
        </w:rPr>
      </w:pPr>
      <w:r w:rsidRPr="008019E1">
        <w:rPr>
          <w:b/>
          <w:bCs/>
          <w:sz w:val="24"/>
          <w:szCs w:val="24"/>
        </w:rPr>
        <w:t>C</w:t>
      </w:r>
      <w:r w:rsidR="001B7955" w:rsidRPr="008019E1">
        <w:rPr>
          <w:b/>
          <w:bCs/>
          <w:sz w:val="24"/>
          <w:szCs w:val="24"/>
        </w:rPr>
        <w:t>onstitution du dossier</w:t>
      </w:r>
    </w:p>
    <w:p w:rsidR="00624E18" w:rsidRDefault="00624E18" w:rsidP="00F84C7C">
      <w:pPr>
        <w:pStyle w:val="Default"/>
        <w:jc w:val="both"/>
        <w:rPr>
          <w:bCs/>
          <w:sz w:val="22"/>
          <w:szCs w:val="22"/>
        </w:rPr>
      </w:pPr>
    </w:p>
    <w:p w:rsidR="0033159F" w:rsidRDefault="0033159F" w:rsidP="00533DA0">
      <w:pPr>
        <w:pStyle w:val="Default"/>
        <w:jc w:val="both"/>
        <w:rPr>
          <w:bCs/>
          <w:sz w:val="22"/>
          <w:szCs w:val="22"/>
        </w:rPr>
      </w:pPr>
      <w:r>
        <w:rPr>
          <w:bCs/>
          <w:sz w:val="22"/>
          <w:szCs w:val="22"/>
        </w:rPr>
        <w:t xml:space="preserve">Les </w:t>
      </w:r>
      <w:r w:rsidR="00F84C7C">
        <w:rPr>
          <w:bCs/>
          <w:sz w:val="22"/>
          <w:szCs w:val="22"/>
        </w:rPr>
        <w:t>OSC</w:t>
      </w:r>
      <w:r>
        <w:rPr>
          <w:bCs/>
          <w:sz w:val="22"/>
          <w:szCs w:val="22"/>
        </w:rPr>
        <w:t xml:space="preserve"> </w:t>
      </w:r>
      <w:r w:rsidR="00533DA0">
        <w:rPr>
          <w:bCs/>
          <w:sz w:val="22"/>
          <w:szCs w:val="22"/>
        </w:rPr>
        <w:t xml:space="preserve">remplissant les critères d’éligibilité ci-dessus et </w:t>
      </w:r>
      <w:r>
        <w:rPr>
          <w:bCs/>
          <w:sz w:val="22"/>
          <w:szCs w:val="22"/>
        </w:rPr>
        <w:t xml:space="preserve">souhaitant faire partie des 30 </w:t>
      </w:r>
      <w:r w:rsidR="00F84C7C">
        <w:rPr>
          <w:bCs/>
          <w:sz w:val="22"/>
          <w:szCs w:val="22"/>
        </w:rPr>
        <w:t>structures</w:t>
      </w:r>
      <w:r>
        <w:rPr>
          <w:bCs/>
          <w:sz w:val="22"/>
          <w:szCs w:val="22"/>
        </w:rPr>
        <w:t xml:space="preserve"> bénéficiaires du projet </w:t>
      </w:r>
      <w:r w:rsidR="00F84C7C">
        <w:rPr>
          <w:bCs/>
          <w:sz w:val="22"/>
          <w:szCs w:val="22"/>
        </w:rPr>
        <w:t>doivent</w:t>
      </w:r>
      <w:r>
        <w:rPr>
          <w:bCs/>
          <w:sz w:val="22"/>
          <w:szCs w:val="22"/>
        </w:rPr>
        <w:t xml:space="preserve"> </w:t>
      </w:r>
      <w:r w:rsidR="00F84C7C">
        <w:rPr>
          <w:bCs/>
          <w:sz w:val="22"/>
          <w:szCs w:val="22"/>
        </w:rPr>
        <w:t xml:space="preserve">manifester leur intérêt en fournissant </w:t>
      </w:r>
      <w:r w:rsidR="00624E18">
        <w:rPr>
          <w:bCs/>
          <w:sz w:val="22"/>
          <w:szCs w:val="22"/>
        </w:rPr>
        <w:t>un dossier constitué de</w:t>
      </w:r>
      <w:r w:rsidR="00F84C7C">
        <w:rPr>
          <w:bCs/>
          <w:sz w:val="22"/>
          <w:szCs w:val="22"/>
        </w:rPr>
        <w:t>s pièces suivantes :</w:t>
      </w:r>
    </w:p>
    <w:p w:rsidR="0033159F" w:rsidRPr="00F84C7C" w:rsidRDefault="0033159F" w:rsidP="00F84C7C">
      <w:pPr>
        <w:pStyle w:val="Blockquote"/>
        <w:numPr>
          <w:ilvl w:val="0"/>
          <w:numId w:val="9"/>
        </w:numPr>
        <w:ind w:right="357"/>
        <w:jc w:val="both"/>
        <w:rPr>
          <w:rFonts w:asciiTheme="minorHAnsi" w:hAnsiTheme="minorHAnsi"/>
          <w:b/>
          <w:sz w:val="22"/>
          <w:szCs w:val="22"/>
        </w:rPr>
      </w:pPr>
      <w:r w:rsidRPr="0035245D">
        <w:rPr>
          <w:rFonts w:asciiTheme="minorHAnsi" w:hAnsiTheme="minorHAnsi"/>
          <w:sz w:val="22"/>
          <w:szCs w:val="22"/>
        </w:rPr>
        <w:t xml:space="preserve">Le formulaire de manifestation d’intérêt </w:t>
      </w:r>
      <w:r w:rsidR="00624E18">
        <w:rPr>
          <w:rFonts w:asciiTheme="minorHAnsi" w:hAnsiTheme="minorHAnsi"/>
          <w:sz w:val="22"/>
          <w:szCs w:val="22"/>
        </w:rPr>
        <w:t xml:space="preserve">dûment </w:t>
      </w:r>
      <w:r w:rsidR="00F84C7C">
        <w:rPr>
          <w:rFonts w:asciiTheme="minorHAnsi" w:hAnsiTheme="minorHAnsi"/>
          <w:sz w:val="22"/>
          <w:szCs w:val="22"/>
        </w:rPr>
        <w:t>rempli ;</w:t>
      </w:r>
    </w:p>
    <w:p w:rsidR="0033159F" w:rsidRPr="00F84C7C" w:rsidRDefault="0033159F" w:rsidP="00F84C7C">
      <w:pPr>
        <w:pStyle w:val="Blockquote"/>
        <w:numPr>
          <w:ilvl w:val="0"/>
          <w:numId w:val="9"/>
        </w:numPr>
        <w:ind w:right="357"/>
        <w:jc w:val="both"/>
        <w:rPr>
          <w:rFonts w:asciiTheme="minorHAnsi" w:hAnsiTheme="minorHAnsi"/>
          <w:b/>
          <w:sz w:val="22"/>
          <w:szCs w:val="22"/>
        </w:rPr>
      </w:pPr>
      <w:r w:rsidRPr="00F84C7C">
        <w:rPr>
          <w:rFonts w:asciiTheme="minorHAnsi" w:hAnsiTheme="minorHAnsi"/>
          <w:sz w:val="22"/>
          <w:szCs w:val="22"/>
        </w:rPr>
        <w:t>Un courrier de motivation (expression d’intérêt) ;</w:t>
      </w:r>
    </w:p>
    <w:p w:rsidR="0033159F" w:rsidRPr="0035245D" w:rsidRDefault="0033159F" w:rsidP="00F84C7C">
      <w:pPr>
        <w:pStyle w:val="Blockquote"/>
        <w:numPr>
          <w:ilvl w:val="0"/>
          <w:numId w:val="14"/>
        </w:numPr>
        <w:ind w:right="357"/>
        <w:jc w:val="both"/>
        <w:rPr>
          <w:rFonts w:asciiTheme="minorHAnsi" w:hAnsiTheme="minorHAnsi"/>
          <w:b/>
          <w:sz w:val="22"/>
          <w:szCs w:val="22"/>
        </w:rPr>
      </w:pPr>
      <w:r w:rsidRPr="0035245D">
        <w:rPr>
          <w:rFonts w:asciiTheme="minorHAnsi" w:hAnsiTheme="minorHAnsi"/>
          <w:sz w:val="22"/>
          <w:szCs w:val="22"/>
        </w:rPr>
        <w:t>Le rapport d’activité de l’année N-1 ou à défaut les références d’au moins 3 actions / projets</w:t>
      </w:r>
      <w:r>
        <w:rPr>
          <w:rFonts w:asciiTheme="minorHAnsi" w:hAnsiTheme="minorHAnsi"/>
          <w:sz w:val="22"/>
          <w:szCs w:val="22"/>
        </w:rPr>
        <w:t> ;</w:t>
      </w:r>
    </w:p>
    <w:p w:rsidR="0033159F" w:rsidRPr="0035245D" w:rsidRDefault="0033159F" w:rsidP="00F84C7C">
      <w:pPr>
        <w:pStyle w:val="Blockquote"/>
        <w:numPr>
          <w:ilvl w:val="0"/>
          <w:numId w:val="14"/>
        </w:numPr>
        <w:ind w:right="357"/>
        <w:jc w:val="both"/>
        <w:rPr>
          <w:rFonts w:asciiTheme="minorHAnsi" w:hAnsiTheme="minorHAnsi"/>
          <w:b/>
          <w:sz w:val="22"/>
          <w:szCs w:val="22"/>
        </w:rPr>
      </w:pPr>
      <w:r w:rsidRPr="0035245D">
        <w:rPr>
          <w:rFonts w:asciiTheme="minorHAnsi" w:hAnsiTheme="minorHAnsi"/>
          <w:sz w:val="22"/>
          <w:szCs w:val="22"/>
        </w:rPr>
        <w:t>Les pièces administratives suivantes : agrément délivré par l’autorité de tutelle, statuts de l’OSC, récépissé d’enregistrement, composition du Conseil d’Administration ou de l’instance de gouvernance de l’OSC</w:t>
      </w:r>
      <w:r>
        <w:rPr>
          <w:rFonts w:asciiTheme="minorHAnsi" w:hAnsiTheme="minorHAnsi"/>
          <w:sz w:val="22"/>
          <w:szCs w:val="22"/>
        </w:rPr>
        <w:t>.</w:t>
      </w:r>
    </w:p>
    <w:p w:rsidR="0033159F" w:rsidRDefault="0033159F" w:rsidP="004E648F">
      <w:pPr>
        <w:pStyle w:val="Default"/>
        <w:jc w:val="both"/>
        <w:rPr>
          <w:bCs/>
          <w:sz w:val="22"/>
          <w:szCs w:val="22"/>
        </w:rPr>
      </w:pPr>
    </w:p>
    <w:p w:rsidR="0037540F" w:rsidRDefault="00624E18" w:rsidP="0037540F">
      <w:pPr>
        <w:pStyle w:val="Default"/>
        <w:jc w:val="both"/>
        <w:rPr>
          <w:bCs/>
          <w:sz w:val="22"/>
          <w:szCs w:val="22"/>
        </w:rPr>
      </w:pPr>
      <w:r w:rsidRPr="0037540F">
        <w:rPr>
          <w:b/>
          <w:sz w:val="22"/>
          <w:szCs w:val="22"/>
          <w:u w:val="single"/>
        </w:rPr>
        <w:t xml:space="preserve">Les dossiers doivent être envoyés en format électronique </w:t>
      </w:r>
      <w:r w:rsidR="008B2A3E">
        <w:rPr>
          <w:b/>
          <w:sz w:val="22"/>
          <w:szCs w:val="22"/>
          <w:u w:val="single"/>
        </w:rPr>
        <w:t xml:space="preserve">en français ou en arabe </w:t>
      </w:r>
      <w:r w:rsidRPr="00603BDE">
        <w:rPr>
          <w:b/>
          <w:sz w:val="22"/>
          <w:szCs w:val="22"/>
          <w:u w:val="single"/>
        </w:rPr>
        <w:t xml:space="preserve">avant </w:t>
      </w:r>
      <w:r w:rsidR="009D315D" w:rsidRPr="00603BDE">
        <w:rPr>
          <w:b/>
          <w:sz w:val="22"/>
          <w:szCs w:val="22"/>
          <w:u w:val="single"/>
        </w:rPr>
        <w:t xml:space="preserve">le </w:t>
      </w:r>
      <w:r w:rsidR="00603BDE" w:rsidRPr="00603BDE">
        <w:rPr>
          <w:b/>
          <w:sz w:val="22"/>
          <w:szCs w:val="22"/>
          <w:u w:val="single"/>
        </w:rPr>
        <w:t>22/02</w:t>
      </w:r>
      <w:r w:rsidR="0037540F" w:rsidRPr="00603BDE">
        <w:rPr>
          <w:b/>
          <w:sz w:val="22"/>
          <w:szCs w:val="22"/>
          <w:u w:val="single"/>
        </w:rPr>
        <w:t>/2019</w:t>
      </w:r>
      <w:r w:rsidR="009D315D" w:rsidRPr="0037540F">
        <w:rPr>
          <w:b/>
          <w:sz w:val="22"/>
          <w:szCs w:val="22"/>
          <w:u w:val="single"/>
        </w:rPr>
        <w:t xml:space="preserve"> à l’adresse suivante :</w:t>
      </w:r>
      <w:r w:rsidR="009D315D">
        <w:rPr>
          <w:bCs/>
          <w:sz w:val="22"/>
          <w:szCs w:val="22"/>
        </w:rPr>
        <w:t xml:space="preserve"> </w:t>
      </w:r>
      <w:hyperlink r:id="rId7" w:history="1">
        <w:r w:rsidR="009D315D" w:rsidRPr="006E1A6F">
          <w:rPr>
            <w:rStyle w:val="Hyperlink"/>
            <w:bCs/>
            <w:sz w:val="22"/>
            <w:szCs w:val="22"/>
          </w:rPr>
          <w:t>g.julien@institutbioforce.fr</w:t>
        </w:r>
      </w:hyperlink>
    </w:p>
    <w:p w:rsidR="008019E1" w:rsidRDefault="008019E1" w:rsidP="00624E18">
      <w:pPr>
        <w:pStyle w:val="Default"/>
        <w:jc w:val="both"/>
        <w:rPr>
          <w:bCs/>
          <w:sz w:val="22"/>
          <w:szCs w:val="22"/>
        </w:rPr>
      </w:pPr>
    </w:p>
    <w:p w:rsidR="00CD5DA1" w:rsidRPr="00812B55" w:rsidRDefault="00CD5DA1" w:rsidP="00CD5DA1">
      <w:pPr>
        <w:pStyle w:val="Heading2"/>
        <w:numPr>
          <w:ilvl w:val="0"/>
          <w:numId w:val="15"/>
        </w:numPr>
        <w:jc w:val="both"/>
        <w:rPr>
          <w:b/>
          <w:bCs/>
          <w:sz w:val="24"/>
          <w:szCs w:val="24"/>
        </w:rPr>
      </w:pPr>
      <w:r>
        <w:rPr>
          <w:b/>
          <w:bCs/>
          <w:sz w:val="24"/>
          <w:szCs w:val="24"/>
        </w:rPr>
        <w:t>Calendrier indicatif</w:t>
      </w:r>
    </w:p>
    <w:tbl>
      <w:tblPr>
        <w:tblStyle w:val="TableGrid"/>
        <w:tblW w:w="9175" w:type="dxa"/>
        <w:tblLook w:val="04A0" w:firstRow="1" w:lastRow="0" w:firstColumn="1" w:lastColumn="0" w:noHBand="0" w:noVBand="1"/>
      </w:tblPr>
      <w:tblGrid>
        <w:gridCol w:w="7616"/>
        <w:gridCol w:w="1559"/>
      </w:tblGrid>
      <w:tr w:rsidR="00CD5DA1" w:rsidRPr="00570C86" w:rsidTr="00484B21">
        <w:tc>
          <w:tcPr>
            <w:tcW w:w="7616" w:type="dxa"/>
          </w:tcPr>
          <w:p w:rsidR="00CD5DA1" w:rsidRPr="00570C86" w:rsidRDefault="00CD5DA1" w:rsidP="00484B21">
            <w:pPr>
              <w:pStyle w:val="Default"/>
              <w:jc w:val="center"/>
              <w:rPr>
                <w:b/>
                <w:bCs/>
                <w:sz w:val="22"/>
                <w:szCs w:val="22"/>
                <w:lang w:val="fr-BE"/>
              </w:rPr>
            </w:pPr>
            <w:r w:rsidRPr="00570C86">
              <w:rPr>
                <w:b/>
                <w:bCs/>
                <w:sz w:val="22"/>
                <w:szCs w:val="22"/>
                <w:lang w:val="fr-BE"/>
              </w:rPr>
              <w:t>EVENEMENT</w:t>
            </w:r>
          </w:p>
        </w:tc>
        <w:tc>
          <w:tcPr>
            <w:tcW w:w="1559" w:type="dxa"/>
          </w:tcPr>
          <w:p w:rsidR="00CD5DA1" w:rsidRPr="00570C86" w:rsidRDefault="00CD5DA1" w:rsidP="00484B21">
            <w:pPr>
              <w:pStyle w:val="Default"/>
              <w:jc w:val="center"/>
              <w:rPr>
                <w:b/>
                <w:bCs/>
                <w:sz w:val="22"/>
                <w:szCs w:val="22"/>
                <w:lang w:val="fr-BE"/>
              </w:rPr>
            </w:pPr>
            <w:r w:rsidRPr="00570C86">
              <w:rPr>
                <w:b/>
                <w:bCs/>
                <w:sz w:val="22"/>
                <w:szCs w:val="22"/>
                <w:lang w:val="fr-BE"/>
              </w:rPr>
              <w:t>DATE</w:t>
            </w:r>
          </w:p>
        </w:tc>
      </w:tr>
      <w:tr w:rsidR="00CD5DA1" w:rsidRPr="008F27C0" w:rsidTr="00484B21">
        <w:tc>
          <w:tcPr>
            <w:tcW w:w="7616" w:type="dxa"/>
          </w:tcPr>
          <w:p w:rsidR="00CD5DA1" w:rsidRPr="00570C86" w:rsidRDefault="00CD5DA1" w:rsidP="00484B21">
            <w:pPr>
              <w:pStyle w:val="Default"/>
              <w:rPr>
                <w:bCs/>
                <w:sz w:val="22"/>
                <w:szCs w:val="22"/>
                <w:lang w:val="fr-BE"/>
              </w:rPr>
            </w:pPr>
            <w:r w:rsidRPr="00570C86">
              <w:rPr>
                <w:bCs/>
                <w:sz w:val="22"/>
                <w:szCs w:val="22"/>
                <w:lang w:val="fr-BE"/>
              </w:rPr>
              <w:t>Publication A</w:t>
            </w:r>
            <w:r>
              <w:rPr>
                <w:bCs/>
                <w:sz w:val="22"/>
                <w:szCs w:val="22"/>
                <w:lang w:val="fr-BE"/>
              </w:rPr>
              <w:t>ppel à Manifestation d’Intérêt (AMI)</w:t>
            </w:r>
          </w:p>
        </w:tc>
        <w:tc>
          <w:tcPr>
            <w:tcW w:w="1559" w:type="dxa"/>
          </w:tcPr>
          <w:p w:rsidR="00CD5DA1" w:rsidRPr="00065B69" w:rsidRDefault="00603BDE" w:rsidP="00484B21">
            <w:pPr>
              <w:pStyle w:val="Default"/>
              <w:rPr>
                <w:bCs/>
                <w:color w:val="FF0000"/>
                <w:sz w:val="22"/>
                <w:szCs w:val="22"/>
                <w:highlight w:val="yellow"/>
                <w:lang w:val="fr-BE"/>
              </w:rPr>
            </w:pPr>
            <w:r w:rsidRPr="00603BDE">
              <w:rPr>
                <w:bCs/>
                <w:color w:val="auto"/>
                <w:sz w:val="22"/>
                <w:szCs w:val="22"/>
                <w:lang w:val="fr-BE"/>
              </w:rPr>
              <w:t>21</w:t>
            </w:r>
            <w:r w:rsidR="00CD5DA1" w:rsidRPr="00603BDE">
              <w:rPr>
                <w:bCs/>
                <w:color w:val="auto"/>
                <w:sz w:val="22"/>
                <w:szCs w:val="22"/>
                <w:lang w:val="fr-BE"/>
              </w:rPr>
              <w:t>/</w:t>
            </w:r>
            <w:r w:rsidR="00F42FC6" w:rsidRPr="00603BDE">
              <w:rPr>
                <w:bCs/>
                <w:color w:val="auto"/>
                <w:sz w:val="22"/>
                <w:szCs w:val="22"/>
                <w:lang w:val="fr-BE"/>
              </w:rPr>
              <w:t>12</w:t>
            </w:r>
            <w:r w:rsidR="00CD5DA1" w:rsidRPr="00603BDE">
              <w:rPr>
                <w:bCs/>
                <w:color w:val="auto"/>
                <w:sz w:val="22"/>
                <w:szCs w:val="22"/>
                <w:lang w:val="fr-BE"/>
              </w:rPr>
              <w:t>/2018</w:t>
            </w:r>
          </w:p>
        </w:tc>
      </w:tr>
      <w:tr w:rsidR="00CD5DA1" w:rsidRPr="00570C86" w:rsidTr="00484B21">
        <w:tc>
          <w:tcPr>
            <w:tcW w:w="7616" w:type="dxa"/>
          </w:tcPr>
          <w:p w:rsidR="00CD5DA1" w:rsidRPr="00570C86" w:rsidRDefault="00CD5DA1" w:rsidP="00484B21">
            <w:pPr>
              <w:pStyle w:val="Default"/>
              <w:rPr>
                <w:sz w:val="22"/>
                <w:szCs w:val="22"/>
                <w:lang w:val="fr-BE"/>
              </w:rPr>
            </w:pPr>
            <w:r w:rsidRPr="00570C86">
              <w:rPr>
                <w:sz w:val="22"/>
                <w:szCs w:val="22"/>
                <w:lang w:val="fr-BE"/>
              </w:rPr>
              <w:t xml:space="preserve">Date limite pour les demandes d’éclaircissements à </w:t>
            </w:r>
            <w:r>
              <w:rPr>
                <w:sz w:val="22"/>
                <w:szCs w:val="22"/>
                <w:lang w:val="fr-BE"/>
              </w:rPr>
              <w:t>l’Institut Bioforce</w:t>
            </w:r>
            <w:r w:rsidRPr="00570C86">
              <w:rPr>
                <w:sz w:val="22"/>
                <w:szCs w:val="22"/>
                <w:lang w:val="fr-BE"/>
              </w:rPr>
              <w:t xml:space="preserve"> </w:t>
            </w:r>
          </w:p>
        </w:tc>
        <w:tc>
          <w:tcPr>
            <w:tcW w:w="1559" w:type="dxa"/>
          </w:tcPr>
          <w:p w:rsidR="00CD5DA1" w:rsidRPr="00603BDE" w:rsidRDefault="00603BDE" w:rsidP="00484B21">
            <w:pPr>
              <w:pStyle w:val="Default"/>
              <w:rPr>
                <w:bCs/>
                <w:color w:val="auto"/>
                <w:sz w:val="22"/>
                <w:szCs w:val="22"/>
                <w:lang w:val="fr-BE"/>
              </w:rPr>
            </w:pPr>
            <w:r>
              <w:rPr>
                <w:bCs/>
                <w:color w:val="auto"/>
                <w:sz w:val="22"/>
                <w:szCs w:val="22"/>
                <w:lang w:val="fr-BE"/>
              </w:rPr>
              <w:t>08/02</w:t>
            </w:r>
            <w:r w:rsidR="00CD5DA1" w:rsidRPr="00603BDE">
              <w:rPr>
                <w:bCs/>
                <w:color w:val="auto"/>
                <w:sz w:val="22"/>
                <w:szCs w:val="22"/>
                <w:lang w:val="fr-BE"/>
              </w:rPr>
              <w:t>/2019</w:t>
            </w:r>
          </w:p>
        </w:tc>
      </w:tr>
      <w:tr w:rsidR="00CD5DA1" w:rsidRPr="003F47A8" w:rsidTr="00484B21">
        <w:tc>
          <w:tcPr>
            <w:tcW w:w="7616" w:type="dxa"/>
          </w:tcPr>
          <w:p w:rsidR="00CD5DA1" w:rsidRPr="00570C86" w:rsidRDefault="00CD5DA1" w:rsidP="00484B21">
            <w:pPr>
              <w:pStyle w:val="Default"/>
              <w:rPr>
                <w:sz w:val="22"/>
                <w:szCs w:val="22"/>
                <w:lang w:val="fr-BE"/>
              </w:rPr>
            </w:pPr>
            <w:r w:rsidRPr="00570C86">
              <w:rPr>
                <w:sz w:val="22"/>
                <w:szCs w:val="22"/>
                <w:lang w:val="fr-BE"/>
              </w:rPr>
              <w:t>Dernière date à laquelle des éclaircissements sont donnés par l’</w:t>
            </w:r>
            <w:r>
              <w:rPr>
                <w:sz w:val="22"/>
                <w:szCs w:val="22"/>
                <w:lang w:val="fr-BE"/>
              </w:rPr>
              <w:t>Institut Bioforce</w:t>
            </w:r>
          </w:p>
        </w:tc>
        <w:tc>
          <w:tcPr>
            <w:tcW w:w="1559" w:type="dxa"/>
          </w:tcPr>
          <w:p w:rsidR="00CD5DA1" w:rsidRPr="00603BDE" w:rsidRDefault="00603BDE" w:rsidP="00484B21">
            <w:pPr>
              <w:pStyle w:val="Default"/>
              <w:rPr>
                <w:bCs/>
                <w:color w:val="auto"/>
                <w:sz w:val="22"/>
                <w:szCs w:val="22"/>
                <w:lang w:val="fr-BE"/>
              </w:rPr>
            </w:pPr>
            <w:r w:rsidRPr="00603BDE">
              <w:rPr>
                <w:bCs/>
                <w:color w:val="auto"/>
                <w:sz w:val="22"/>
                <w:szCs w:val="22"/>
                <w:lang w:val="fr-BE"/>
              </w:rPr>
              <w:t>15</w:t>
            </w:r>
            <w:r w:rsidR="00065B69" w:rsidRPr="00603BDE">
              <w:rPr>
                <w:bCs/>
                <w:color w:val="auto"/>
                <w:sz w:val="22"/>
                <w:szCs w:val="22"/>
                <w:lang w:val="fr-BE"/>
              </w:rPr>
              <w:t>/02</w:t>
            </w:r>
            <w:r w:rsidR="00CD5DA1" w:rsidRPr="00603BDE">
              <w:rPr>
                <w:bCs/>
                <w:color w:val="auto"/>
                <w:sz w:val="22"/>
                <w:szCs w:val="22"/>
                <w:lang w:val="fr-BE"/>
              </w:rPr>
              <w:t>/2019</w:t>
            </w:r>
          </w:p>
        </w:tc>
      </w:tr>
      <w:tr w:rsidR="00CD5DA1" w:rsidRPr="003F47A8" w:rsidTr="00484B21">
        <w:tc>
          <w:tcPr>
            <w:tcW w:w="7616" w:type="dxa"/>
          </w:tcPr>
          <w:p w:rsidR="00CD5DA1" w:rsidRPr="00570C86" w:rsidRDefault="00CD5DA1" w:rsidP="00484B21">
            <w:pPr>
              <w:pStyle w:val="Default"/>
              <w:rPr>
                <w:bCs/>
                <w:sz w:val="22"/>
                <w:szCs w:val="22"/>
                <w:lang w:val="fr-BE"/>
              </w:rPr>
            </w:pPr>
            <w:r w:rsidRPr="00570C86">
              <w:rPr>
                <w:sz w:val="22"/>
                <w:szCs w:val="22"/>
                <w:lang w:val="fr-BE"/>
              </w:rPr>
              <w:t xml:space="preserve">Date limite de soumission des </w:t>
            </w:r>
            <w:r>
              <w:rPr>
                <w:sz w:val="22"/>
                <w:szCs w:val="22"/>
                <w:lang w:val="fr-BE"/>
              </w:rPr>
              <w:t>dossiers d’AMI</w:t>
            </w:r>
          </w:p>
        </w:tc>
        <w:tc>
          <w:tcPr>
            <w:tcW w:w="1559" w:type="dxa"/>
          </w:tcPr>
          <w:p w:rsidR="00CD5DA1" w:rsidRPr="00065B69" w:rsidRDefault="00A83B18" w:rsidP="00484B21">
            <w:pPr>
              <w:pStyle w:val="Default"/>
              <w:rPr>
                <w:bCs/>
                <w:color w:val="FF0000"/>
                <w:sz w:val="22"/>
                <w:szCs w:val="22"/>
                <w:highlight w:val="yellow"/>
                <w:lang w:val="fr-BE"/>
              </w:rPr>
            </w:pPr>
            <w:r>
              <w:rPr>
                <w:bCs/>
                <w:color w:val="auto"/>
                <w:sz w:val="22"/>
                <w:szCs w:val="22"/>
                <w:lang w:val="fr-BE"/>
              </w:rPr>
              <w:t>15/03</w:t>
            </w:r>
            <w:r w:rsidR="00CD5DA1" w:rsidRPr="00603BDE">
              <w:rPr>
                <w:bCs/>
                <w:color w:val="auto"/>
                <w:sz w:val="22"/>
                <w:szCs w:val="22"/>
                <w:lang w:val="fr-BE"/>
              </w:rPr>
              <w:t>/2019</w:t>
            </w:r>
          </w:p>
        </w:tc>
      </w:tr>
      <w:tr w:rsidR="00CD5DA1" w:rsidRPr="003F47A8" w:rsidTr="00484B21">
        <w:tc>
          <w:tcPr>
            <w:tcW w:w="7616" w:type="dxa"/>
          </w:tcPr>
          <w:p w:rsidR="00CD5DA1" w:rsidRPr="00234308" w:rsidRDefault="00CD5DA1" w:rsidP="00484B21">
            <w:pPr>
              <w:pStyle w:val="Default"/>
              <w:rPr>
                <w:color w:val="000000" w:themeColor="text1"/>
                <w:sz w:val="22"/>
                <w:szCs w:val="22"/>
                <w:lang w:val="fr-BE"/>
              </w:rPr>
            </w:pPr>
            <w:r w:rsidRPr="00234308">
              <w:rPr>
                <w:color w:val="000000" w:themeColor="text1"/>
                <w:sz w:val="22"/>
                <w:szCs w:val="22"/>
                <w:lang w:val="fr-BE"/>
              </w:rPr>
              <w:t>Comité d’évaluation des dossiers reçus</w:t>
            </w:r>
          </w:p>
        </w:tc>
        <w:tc>
          <w:tcPr>
            <w:tcW w:w="1559" w:type="dxa"/>
          </w:tcPr>
          <w:p w:rsidR="00CD5DA1" w:rsidRPr="00234308" w:rsidRDefault="00234308" w:rsidP="00484B21">
            <w:pPr>
              <w:pStyle w:val="Default"/>
              <w:rPr>
                <w:bCs/>
                <w:color w:val="000000" w:themeColor="text1"/>
                <w:sz w:val="22"/>
                <w:szCs w:val="22"/>
                <w:lang w:val="fr-BE"/>
              </w:rPr>
            </w:pPr>
            <w:r w:rsidRPr="00234308">
              <w:rPr>
                <w:bCs/>
                <w:color w:val="000000" w:themeColor="text1"/>
                <w:sz w:val="22"/>
                <w:szCs w:val="22"/>
                <w:lang w:val="fr-BE"/>
              </w:rPr>
              <w:t>29</w:t>
            </w:r>
            <w:r w:rsidR="00F42FC6" w:rsidRPr="00234308">
              <w:rPr>
                <w:bCs/>
                <w:color w:val="000000" w:themeColor="text1"/>
                <w:sz w:val="22"/>
                <w:szCs w:val="22"/>
                <w:lang w:val="fr-BE"/>
              </w:rPr>
              <w:t>/03</w:t>
            </w:r>
            <w:r w:rsidR="00CD5DA1" w:rsidRPr="00234308">
              <w:rPr>
                <w:bCs/>
                <w:color w:val="000000" w:themeColor="text1"/>
                <w:sz w:val="22"/>
                <w:szCs w:val="22"/>
                <w:lang w:val="fr-BE"/>
              </w:rPr>
              <w:t>/2019</w:t>
            </w:r>
            <w:r w:rsidR="009C19E5">
              <w:rPr>
                <w:bCs/>
                <w:color w:val="000000" w:themeColor="text1"/>
                <w:sz w:val="22"/>
                <w:szCs w:val="22"/>
                <w:lang w:val="fr-BE"/>
              </w:rPr>
              <w:t>*</w:t>
            </w:r>
          </w:p>
        </w:tc>
      </w:tr>
      <w:tr w:rsidR="00CD5DA1" w:rsidRPr="00570C86" w:rsidTr="00484B21">
        <w:tc>
          <w:tcPr>
            <w:tcW w:w="7616" w:type="dxa"/>
          </w:tcPr>
          <w:p w:rsidR="00CD5DA1" w:rsidRPr="00570C86" w:rsidRDefault="00CD5DA1" w:rsidP="00484B21">
            <w:pPr>
              <w:pStyle w:val="Default"/>
              <w:rPr>
                <w:sz w:val="22"/>
                <w:szCs w:val="22"/>
                <w:lang w:val="fr-BE"/>
              </w:rPr>
            </w:pPr>
            <w:r w:rsidRPr="00570C86">
              <w:rPr>
                <w:sz w:val="22"/>
                <w:szCs w:val="22"/>
                <w:lang w:val="fr-BE"/>
              </w:rPr>
              <w:t xml:space="preserve">Notification </w:t>
            </w:r>
            <w:r>
              <w:rPr>
                <w:sz w:val="22"/>
                <w:szCs w:val="22"/>
                <w:lang w:val="fr-BE"/>
              </w:rPr>
              <w:t>des</w:t>
            </w:r>
            <w:r w:rsidRPr="00570C86">
              <w:rPr>
                <w:sz w:val="22"/>
                <w:szCs w:val="22"/>
                <w:lang w:val="fr-BE"/>
              </w:rPr>
              <w:t xml:space="preserve"> résultat</w:t>
            </w:r>
            <w:r>
              <w:rPr>
                <w:sz w:val="22"/>
                <w:szCs w:val="22"/>
                <w:lang w:val="fr-BE"/>
              </w:rPr>
              <w:t>s d’é</w:t>
            </w:r>
            <w:r w:rsidRPr="00570C86">
              <w:rPr>
                <w:sz w:val="22"/>
                <w:szCs w:val="22"/>
                <w:lang w:val="fr-BE"/>
              </w:rPr>
              <w:t>valuation</w:t>
            </w:r>
          </w:p>
        </w:tc>
        <w:tc>
          <w:tcPr>
            <w:tcW w:w="1559" w:type="dxa"/>
          </w:tcPr>
          <w:p w:rsidR="00CD5DA1" w:rsidRPr="00065B69" w:rsidRDefault="00A619E3" w:rsidP="00A619E3">
            <w:pPr>
              <w:pStyle w:val="Default"/>
              <w:rPr>
                <w:bCs/>
                <w:color w:val="FF0000"/>
                <w:sz w:val="22"/>
                <w:szCs w:val="22"/>
                <w:highlight w:val="yellow"/>
                <w:lang w:val="fr-BE"/>
              </w:rPr>
            </w:pPr>
            <w:r w:rsidRPr="00234308">
              <w:rPr>
                <w:bCs/>
                <w:color w:val="000000" w:themeColor="text1"/>
                <w:sz w:val="22"/>
                <w:szCs w:val="22"/>
                <w:lang w:val="fr-BE"/>
              </w:rPr>
              <w:t>Sem</w:t>
            </w:r>
            <w:r w:rsidR="00234308" w:rsidRPr="00234308">
              <w:rPr>
                <w:bCs/>
                <w:color w:val="000000" w:themeColor="text1"/>
                <w:sz w:val="22"/>
                <w:szCs w:val="22"/>
                <w:lang w:val="fr-BE"/>
              </w:rPr>
              <w:t>aine du 01</w:t>
            </w:r>
            <w:r w:rsidRPr="00234308">
              <w:rPr>
                <w:bCs/>
                <w:color w:val="000000" w:themeColor="text1"/>
                <w:sz w:val="22"/>
                <w:szCs w:val="22"/>
                <w:lang w:val="fr-BE"/>
              </w:rPr>
              <w:t>/</w:t>
            </w:r>
            <w:r w:rsidR="00234308" w:rsidRPr="00234308">
              <w:rPr>
                <w:bCs/>
                <w:color w:val="000000" w:themeColor="text1"/>
                <w:sz w:val="22"/>
                <w:szCs w:val="22"/>
                <w:lang w:val="fr-BE"/>
              </w:rPr>
              <w:t>04</w:t>
            </w:r>
            <w:r w:rsidR="00CD5DA1" w:rsidRPr="00234308">
              <w:rPr>
                <w:bCs/>
                <w:color w:val="000000" w:themeColor="text1"/>
                <w:sz w:val="22"/>
                <w:szCs w:val="22"/>
                <w:lang w:val="fr-BE"/>
              </w:rPr>
              <w:t>/2019</w:t>
            </w:r>
            <w:r w:rsidR="009C19E5">
              <w:rPr>
                <w:bCs/>
                <w:color w:val="000000" w:themeColor="text1"/>
                <w:sz w:val="22"/>
                <w:szCs w:val="22"/>
                <w:lang w:val="fr-BE"/>
              </w:rPr>
              <w:t>*</w:t>
            </w:r>
          </w:p>
        </w:tc>
      </w:tr>
      <w:tr w:rsidR="00CD5DA1" w:rsidRPr="00570C86" w:rsidTr="00484B21">
        <w:tc>
          <w:tcPr>
            <w:tcW w:w="7616" w:type="dxa"/>
          </w:tcPr>
          <w:p w:rsidR="00CD5DA1" w:rsidRPr="00570C86" w:rsidRDefault="00CD5DA1" w:rsidP="00484B21">
            <w:pPr>
              <w:pStyle w:val="Default"/>
              <w:rPr>
                <w:sz w:val="22"/>
                <w:szCs w:val="22"/>
                <w:lang w:val="fr-BE"/>
              </w:rPr>
            </w:pPr>
            <w:r>
              <w:rPr>
                <w:sz w:val="22"/>
                <w:szCs w:val="22"/>
                <w:lang w:val="fr-BE"/>
              </w:rPr>
              <w:t>Atelier de lancement des activités et de présentation des outils aux OSC sélectionnées</w:t>
            </w:r>
          </w:p>
        </w:tc>
        <w:tc>
          <w:tcPr>
            <w:tcW w:w="1559" w:type="dxa"/>
          </w:tcPr>
          <w:p w:rsidR="00CD5DA1" w:rsidRPr="00065B69" w:rsidRDefault="003A6E98" w:rsidP="00484B21">
            <w:pPr>
              <w:pStyle w:val="Default"/>
              <w:rPr>
                <w:bCs/>
                <w:color w:val="FF0000"/>
                <w:sz w:val="22"/>
                <w:szCs w:val="22"/>
                <w:highlight w:val="yellow"/>
                <w:lang w:val="fr-BE"/>
              </w:rPr>
            </w:pPr>
            <w:r>
              <w:rPr>
                <w:bCs/>
                <w:color w:val="000000" w:themeColor="text1"/>
                <w:sz w:val="22"/>
                <w:szCs w:val="22"/>
                <w:lang w:val="fr-BE"/>
              </w:rPr>
              <w:t>Semaine du 15</w:t>
            </w:r>
            <w:r w:rsidR="00065B69" w:rsidRPr="00234308">
              <w:rPr>
                <w:bCs/>
                <w:color w:val="000000" w:themeColor="text1"/>
                <w:sz w:val="22"/>
                <w:szCs w:val="22"/>
                <w:lang w:val="fr-BE"/>
              </w:rPr>
              <w:t>/04</w:t>
            </w:r>
            <w:r w:rsidR="00CD5DA1" w:rsidRPr="00234308">
              <w:rPr>
                <w:bCs/>
                <w:color w:val="000000" w:themeColor="text1"/>
                <w:sz w:val="22"/>
                <w:szCs w:val="22"/>
                <w:lang w:val="fr-BE"/>
              </w:rPr>
              <w:t>/2019</w:t>
            </w:r>
            <w:r w:rsidR="009C19E5">
              <w:rPr>
                <w:bCs/>
                <w:color w:val="000000" w:themeColor="text1"/>
                <w:sz w:val="22"/>
                <w:szCs w:val="22"/>
                <w:lang w:val="fr-BE"/>
              </w:rPr>
              <w:t>*</w:t>
            </w:r>
          </w:p>
        </w:tc>
      </w:tr>
    </w:tbl>
    <w:p w:rsidR="00812B55" w:rsidRPr="009C19E5" w:rsidRDefault="009C19E5" w:rsidP="009C19E5">
      <w:pPr>
        <w:pStyle w:val="NoSpacing"/>
        <w:rPr>
          <w:i/>
          <w:iCs/>
        </w:rPr>
      </w:pPr>
      <w:r w:rsidRPr="009C19E5">
        <w:rPr>
          <w:i/>
          <w:iCs/>
        </w:rPr>
        <w:t>* Dates fournies à titre indicatif, susceptibles d’être modifiées</w:t>
      </w:r>
    </w:p>
    <w:p w:rsidR="009C19E5" w:rsidRPr="009C19E5" w:rsidRDefault="009C19E5" w:rsidP="009C19E5">
      <w:pPr>
        <w:keepNext/>
        <w:keepLines/>
        <w:spacing w:before="40" w:after="0"/>
        <w:jc w:val="both"/>
        <w:outlineLvl w:val="1"/>
        <w:rPr>
          <w:rFonts w:asciiTheme="majorHAnsi" w:eastAsiaTheme="majorEastAsia" w:hAnsiTheme="majorHAnsi" w:cstheme="majorBidi"/>
          <w:b/>
          <w:bCs/>
          <w:vanish/>
          <w:color w:val="2E74B5" w:themeColor="accent1" w:themeShade="BF"/>
          <w:sz w:val="24"/>
          <w:szCs w:val="24"/>
        </w:rPr>
      </w:pPr>
    </w:p>
    <w:p w:rsidR="00812B55" w:rsidRPr="00812B55" w:rsidRDefault="00812B55" w:rsidP="00CD5DA1">
      <w:pPr>
        <w:pStyle w:val="ListParagraph"/>
        <w:keepNext/>
        <w:keepLines/>
        <w:numPr>
          <w:ilvl w:val="0"/>
          <w:numId w:val="17"/>
        </w:numPr>
        <w:spacing w:before="40" w:after="0"/>
        <w:contextualSpacing w:val="0"/>
        <w:jc w:val="both"/>
        <w:outlineLvl w:val="1"/>
        <w:rPr>
          <w:rFonts w:asciiTheme="majorHAnsi" w:eastAsiaTheme="majorEastAsia" w:hAnsiTheme="majorHAnsi" w:cstheme="majorBidi"/>
          <w:b/>
          <w:bCs/>
          <w:vanish/>
          <w:color w:val="2E74B5" w:themeColor="accent1" w:themeShade="BF"/>
          <w:sz w:val="24"/>
          <w:szCs w:val="24"/>
        </w:rPr>
      </w:pPr>
    </w:p>
    <w:p w:rsidR="002A5947" w:rsidRPr="007E420E" w:rsidRDefault="002A5947" w:rsidP="000D2210">
      <w:pPr>
        <w:pStyle w:val="Default"/>
        <w:ind w:left="720"/>
        <w:jc w:val="both"/>
        <w:rPr>
          <w:bCs/>
          <w:sz w:val="22"/>
          <w:szCs w:val="22"/>
        </w:rPr>
      </w:pPr>
    </w:p>
    <w:sectPr w:rsidR="002A5947" w:rsidRPr="007E420E" w:rsidSect="00D7315B">
      <w:headerReference w:type="default" r:id="rId8"/>
      <w:footerReference w:type="default" r:id="rId9"/>
      <w:pgSz w:w="11906" w:h="16838" w:code="9"/>
      <w:pgMar w:top="1417" w:right="1417" w:bottom="1417" w:left="1417" w:header="68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F70" w:rsidRDefault="00E44F70" w:rsidP="00032D62">
      <w:pPr>
        <w:spacing w:after="0" w:line="240" w:lineRule="auto"/>
      </w:pPr>
      <w:r>
        <w:separator/>
      </w:r>
    </w:p>
  </w:endnote>
  <w:endnote w:type="continuationSeparator" w:id="0">
    <w:p w:rsidR="00E44F70" w:rsidRDefault="00E44F70" w:rsidP="0003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67" w:rsidRDefault="00543667" w:rsidP="00032D62">
    <w:pPr>
      <w:pStyle w:val="Footer"/>
      <w:tabs>
        <w:tab w:val="clear" w:pos="4536"/>
        <w:tab w:val="clear" w:pos="9072"/>
        <w:tab w:val="left" w:pos="7515"/>
      </w:tabs>
    </w:pPr>
    <w:r>
      <w:rPr>
        <w:noProof/>
        <w:lang w:val="en-US"/>
      </w:rPr>
      <w:drawing>
        <wp:inline distT="0" distB="0" distL="0" distR="0" wp14:anchorId="7D384361" wp14:editId="54BFE216">
          <wp:extent cx="1211203" cy="504000"/>
          <wp:effectExtent l="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D designation - HD.jpg"/>
                  <pic:cNvPicPr/>
                </pic:nvPicPr>
                <pic:blipFill>
                  <a:blip r:embed="rId1">
                    <a:extLst>
                      <a:ext uri="{28A0092B-C50C-407E-A947-70E740481C1C}">
                        <a14:useLocalDpi xmlns:a14="http://schemas.microsoft.com/office/drawing/2010/main" val="0"/>
                      </a:ext>
                    </a:extLst>
                  </a:blip>
                  <a:stretch>
                    <a:fillRect/>
                  </a:stretch>
                </pic:blipFill>
                <pic:spPr>
                  <a:xfrm>
                    <a:off x="0" y="0"/>
                    <a:ext cx="1211203" cy="504000"/>
                  </a:xfrm>
                  <a:prstGeom prst="rect">
                    <a:avLst/>
                  </a:prstGeom>
                </pic:spPr>
              </pic:pic>
            </a:graphicData>
          </a:graphic>
        </wp:inline>
      </w:drawing>
    </w:r>
    <w:r>
      <w:rPr>
        <w:noProof/>
        <w:lang w:eastAsia="fr-FR"/>
      </w:rPr>
      <w:t xml:space="preserve">                                                                        </w:t>
    </w:r>
    <w:r>
      <w:rPr>
        <w:noProof/>
        <w:lang w:val="en-US"/>
      </w:rPr>
      <w:drawing>
        <wp:inline distT="0" distB="0" distL="0" distR="0" wp14:anchorId="6822B252" wp14:editId="54EA46AF">
          <wp:extent cx="2203205" cy="432000"/>
          <wp:effectExtent l="0" t="0" r="6985"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RA.png"/>
                  <pic:cNvPicPr/>
                </pic:nvPicPr>
                <pic:blipFill>
                  <a:blip r:embed="rId2">
                    <a:extLst>
                      <a:ext uri="{28A0092B-C50C-407E-A947-70E740481C1C}">
                        <a14:useLocalDpi xmlns:a14="http://schemas.microsoft.com/office/drawing/2010/main" val="0"/>
                      </a:ext>
                    </a:extLst>
                  </a:blip>
                  <a:stretch>
                    <a:fillRect/>
                  </a:stretch>
                </pic:blipFill>
                <pic:spPr>
                  <a:xfrm>
                    <a:off x="0" y="0"/>
                    <a:ext cx="2203205" cy="43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F70" w:rsidRDefault="00E44F70" w:rsidP="00032D62">
      <w:pPr>
        <w:spacing w:after="0" w:line="240" w:lineRule="auto"/>
      </w:pPr>
      <w:r>
        <w:separator/>
      </w:r>
    </w:p>
  </w:footnote>
  <w:footnote w:type="continuationSeparator" w:id="0">
    <w:p w:rsidR="00E44F70" w:rsidRDefault="00E44F70" w:rsidP="0003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667" w:rsidRDefault="00543667" w:rsidP="00032D62">
    <w:pPr>
      <w:pStyle w:val="Header"/>
      <w:tabs>
        <w:tab w:val="clear" w:pos="4536"/>
        <w:tab w:val="left" w:pos="3675"/>
      </w:tabs>
    </w:pPr>
    <w:r>
      <w:rPr>
        <w:noProof/>
        <w:lang w:val="en-US"/>
      </w:rPr>
      <w:drawing>
        <wp:inline distT="0" distB="0" distL="0" distR="0" wp14:anchorId="7C18E2BD" wp14:editId="7C10965E">
          <wp:extent cx="975693" cy="7560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RD.png"/>
                  <pic:cNvPicPr/>
                </pic:nvPicPr>
                <pic:blipFill>
                  <a:blip r:embed="rId1">
                    <a:extLst>
                      <a:ext uri="{28A0092B-C50C-407E-A947-70E740481C1C}">
                        <a14:useLocalDpi xmlns:a14="http://schemas.microsoft.com/office/drawing/2010/main" val="0"/>
                      </a:ext>
                    </a:extLst>
                  </a:blip>
                  <a:stretch>
                    <a:fillRect/>
                  </a:stretch>
                </pic:blipFill>
                <pic:spPr>
                  <a:xfrm>
                    <a:off x="0" y="0"/>
                    <a:ext cx="975693" cy="756000"/>
                  </a:xfrm>
                  <a:prstGeom prst="rect">
                    <a:avLst/>
                  </a:prstGeom>
                </pic:spPr>
              </pic:pic>
            </a:graphicData>
          </a:graphic>
        </wp:inline>
      </w:drawing>
    </w:r>
    <w:r>
      <w:tab/>
    </w:r>
    <w:r>
      <w:rPr>
        <w:noProof/>
        <w:lang w:val="en-US"/>
      </w:rPr>
      <w:drawing>
        <wp:inline distT="0" distB="0" distL="0" distR="0" wp14:anchorId="70CFB34F" wp14:editId="07C26AB1">
          <wp:extent cx="813625" cy="828000"/>
          <wp:effectExtent l="0" t="0" r="571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ioforce-Cercle-2010.png"/>
                  <pic:cNvPicPr/>
                </pic:nvPicPr>
                <pic:blipFill>
                  <a:blip r:embed="rId2">
                    <a:extLst>
                      <a:ext uri="{28A0092B-C50C-407E-A947-70E740481C1C}">
                        <a14:useLocalDpi xmlns:a14="http://schemas.microsoft.com/office/drawing/2010/main" val="0"/>
                      </a:ext>
                    </a:extLst>
                  </a:blip>
                  <a:stretch>
                    <a:fillRect/>
                  </a:stretch>
                </pic:blipFill>
                <pic:spPr>
                  <a:xfrm>
                    <a:off x="0" y="0"/>
                    <a:ext cx="813625" cy="828000"/>
                  </a:xfrm>
                  <a:prstGeom prst="rect">
                    <a:avLst/>
                  </a:prstGeom>
                </pic:spPr>
              </pic:pic>
            </a:graphicData>
          </a:graphic>
        </wp:inline>
      </w:drawing>
    </w:r>
    <w:r>
      <w:tab/>
    </w:r>
    <w:r>
      <w:rPr>
        <w:noProof/>
        <w:lang w:val="en-US"/>
      </w:rPr>
      <w:drawing>
        <wp:inline distT="0" distB="0" distL="0" distR="0" wp14:anchorId="5449A99B" wp14:editId="36789ACC">
          <wp:extent cx="1267692" cy="720000"/>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rth LEDA.png"/>
                  <pic:cNvPicPr/>
                </pic:nvPicPr>
                <pic:blipFill>
                  <a:blip r:embed="rId3">
                    <a:extLst>
                      <a:ext uri="{28A0092B-C50C-407E-A947-70E740481C1C}">
                        <a14:useLocalDpi xmlns:a14="http://schemas.microsoft.com/office/drawing/2010/main" val="0"/>
                      </a:ext>
                    </a:extLst>
                  </a:blip>
                  <a:stretch>
                    <a:fillRect/>
                  </a:stretch>
                </pic:blipFill>
                <pic:spPr>
                  <a:xfrm>
                    <a:off x="0" y="0"/>
                    <a:ext cx="126769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37DE"/>
    <w:multiLevelType w:val="hybridMultilevel"/>
    <w:tmpl w:val="4F3C3A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06135C"/>
    <w:multiLevelType w:val="hybridMultilevel"/>
    <w:tmpl w:val="E1AE8AA4"/>
    <w:lvl w:ilvl="0" w:tplc="A23C59FA">
      <w:start w:val="14"/>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1581BFF"/>
    <w:multiLevelType w:val="hybridMultilevel"/>
    <w:tmpl w:val="20C695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6662AC"/>
    <w:multiLevelType w:val="multilevel"/>
    <w:tmpl w:val="4E929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1E569B"/>
    <w:multiLevelType w:val="hybridMultilevel"/>
    <w:tmpl w:val="A748EE1C"/>
    <w:lvl w:ilvl="0" w:tplc="8004A62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85E5296"/>
    <w:multiLevelType w:val="multilevel"/>
    <w:tmpl w:val="F30499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771691"/>
    <w:multiLevelType w:val="hybridMultilevel"/>
    <w:tmpl w:val="6F78D018"/>
    <w:lvl w:ilvl="0" w:tplc="B734C5DE">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6F4986"/>
    <w:multiLevelType w:val="hybridMultilevel"/>
    <w:tmpl w:val="84646C08"/>
    <w:lvl w:ilvl="0" w:tplc="A828ABC0">
      <w:start w:val="3"/>
      <w:numFmt w:val="bullet"/>
      <w:lvlText w:val="-"/>
      <w:lvlJc w:val="left"/>
      <w:pPr>
        <w:ind w:left="717" w:hanging="360"/>
      </w:pPr>
      <w:rPr>
        <w:rFonts w:ascii="Arial" w:eastAsia="Times New Roman" w:hAnsi="Arial" w:cs="Arial" w:hint="default"/>
        <w:b w:val="0"/>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8" w15:restartNumberingAfterBreak="0">
    <w:nsid w:val="2DDF08A3"/>
    <w:multiLevelType w:val="hybridMultilevel"/>
    <w:tmpl w:val="30020A5E"/>
    <w:lvl w:ilvl="0" w:tplc="A828ABC0">
      <w:start w:val="3"/>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E57329"/>
    <w:multiLevelType w:val="hybridMultilevel"/>
    <w:tmpl w:val="69E84348"/>
    <w:lvl w:ilvl="0" w:tplc="C48492A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EB7F39"/>
    <w:multiLevelType w:val="hybridMultilevel"/>
    <w:tmpl w:val="4F3C3A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2A116C3"/>
    <w:multiLevelType w:val="hybridMultilevel"/>
    <w:tmpl w:val="4F3C3A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0847EB"/>
    <w:multiLevelType w:val="hybridMultilevel"/>
    <w:tmpl w:val="3A10D94C"/>
    <w:lvl w:ilvl="0" w:tplc="A23C59FA">
      <w:start w:val="14"/>
      <w:numFmt w:val="bullet"/>
      <w:lvlText w:val="-"/>
      <w:lvlJc w:val="left"/>
      <w:pPr>
        <w:ind w:left="643" w:hanging="360"/>
      </w:pPr>
      <w:rPr>
        <w:rFonts w:ascii="Times New Roman" w:eastAsia="Calibri" w:hAnsi="Times New Roman"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3" w15:restartNumberingAfterBreak="0">
    <w:nsid w:val="41906AFE"/>
    <w:multiLevelType w:val="hybridMultilevel"/>
    <w:tmpl w:val="0316CD12"/>
    <w:lvl w:ilvl="0" w:tplc="41C491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9060BC"/>
    <w:multiLevelType w:val="hybridMultilevel"/>
    <w:tmpl w:val="CEF2C740"/>
    <w:lvl w:ilvl="0" w:tplc="4502EC6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410B94"/>
    <w:multiLevelType w:val="hybridMultilevel"/>
    <w:tmpl w:val="C89C7F72"/>
    <w:lvl w:ilvl="0" w:tplc="AC0AA9F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447FBF"/>
    <w:multiLevelType w:val="hybridMultilevel"/>
    <w:tmpl w:val="B8CC10F8"/>
    <w:lvl w:ilvl="0" w:tplc="C48492A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61188A"/>
    <w:multiLevelType w:val="hybridMultilevel"/>
    <w:tmpl w:val="9FE6D8CC"/>
    <w:lvl w:ilvl="0" w:tplc="20A6C3D0">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6"/>
  </w:num>
  <w:num w:numId="4">
    <w:abstractNumId w:val="13"/>
  </w:num>
  <w:num w:numId="5">
    <w:abstractNumId w:val="17"/>
  </w:num>
  <w:num w:numId="6">
    <w:abstractNumId w:val="9"/>
  </w:num>
  <w:num w:numId="7">
    <w:abstractNumId w:val="12"/>
  </w:num>
  <w:num w:numId="8">
    <w:abstractNumId w:val="1"/>
  </w:num>
  <w:num w:numId="9">
    <w:abstractNumId w:val="15"/>
  </w:num>
  <w:num w:numId="10">
    <w:abstractNumId w:val="3"/>
  </w:num>
  <w:num w:numId="11">
    <w:abstractNumId w:val="5"/>
  </w:num>
  <w:num w:numId="12">
    <w:abstractNumId w:val="6"/>
  </w:num>
  <w:num w:numId="13">
    <w:abstractNumId w:val="0"/>
  </w:num>
  <w:num w:numId="14">
    <w:abstractNumId w:val="7"/>
  </w:num>
  <w:num w:numId="15">
    <w:abstractNumId w:val="10"/>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74"/>
    <w:rsid w:val="00010C56"/>
    <w:rsid w:val="00012DCE"/>
    <w:rsid w:val="00032D62"/>
    <w:rsid w:val="00065B69"/>
    <w:rsid w:val="000951DB"/>
    <w:rsid w:val="000B46CA"/>
    <w:rsid w:val="000C261B"/>
    <w:rsid w:val="000D2210"/>
    <w:rsid w:val="00142FA6"/>
    <w:rsid w:val="001505E9"/>
    <w:rsid w:val="001B652A"/>
    <w:rsid w:val="001B7955"/>
    <w:rsid w:val="00223531"/>
    <w:rsid w:val="00234308"/>
    <w:rsid w:val="00244AB9"/>
    <w:rsid w:val="00272592"/>
    <w:rsid w:val="002A5947"/>
    <w:rsid w:val="002C1455"/>
    <w:rsid w:val="002F7D03"/>
    <w:rsid w:val="0032491A"/>
    <w:rsid w:val="00330A38"/>
    <w:rsid w:val="0033159F"/>
    <w:rsid w:val="00336290"/>
    <w:rsid w:val="0037540F"/>
    <w:rsid w:val="003A6E98"/>
    <w:rsid w:val="004028C9"/>
    <w:rsid w:val="004146A7"/>
    <w:rsid w:val="00471CFD"/>
    <w:rsid w:val="00484B21"/>
    <w:rsid w:val="004E648F"/>
    <w:rsid w:val="004F1238"/>
    <w:rsid w:val="005162C8"/>
    <w:rsid w:val="00516EE1"/>
    <w:rsid w:val="00533DA0"/>
    <w:rsid w:val="00543667"/>
    <w:rsid w:val="005461A5"/>
    <w:rsid w:val="0055167B"/>
    <w:rsid w:val="00561C45"/>
    <w:rsid w:val="00595F74"/>
    <w:rsid w:val="005D2638"/>
    <w:rsid w:val="005E459B"/>
    <w:rsid w:val="00601139"/>
    <w:rsid w:val="00603BDE"/>
    <w:rsid w:val="0061326D"/>
    <w:rsid w:val="00616859"/>
    <w:rsid w:val="00624E18"/>
    <w:rsid w:val="00651506"/>
    <w:rsid w:val="00694E78"/>
    <w:rsid w:val="006C16F0"/>
    <w:rsid w:val="006D7E25"/>
    <w:rsid w:val="00734258"/>
    <w:rsid w:val="007435B3"/>
    <w:rsid w:val="00751837"/>
    <w:rsid w:val="00773BA2"/>
    <w:rsid w:val="00773F8F"/>
    <w:rsid w:val="007B6C34"/>
    <w:rsid w:val="007D2044"/>
    <w:rsid w:val="007E420E"/>
    <w:rsid w:val="007E4B63"/>
    <w:rsid w:val="008019E1"/>
    <w:rsid w:val="00812B55"/>
    <w:rsid w:val="00815961"/>
    <w:rsid w:val="00825891"/>
    <w:rsid w:val="00836DAD"/>
    <w:rsid w:val="008540EF"/>
    <w:rsid w:val="0086272F"/>
    <w:rsid w:val="00885453"/>
    <w:rsid w:val="00892E06"/>
    <w:rsid w:val="008B2A3E"/>
    <w:rsid w:val="008D1274"/>
    <w:rsid w:val="009001B9"/>
    <w:rsid w:val="009504AA"/>
    <w:rsid w:val="00960955"/>
    <w:rsid w:val="0096276E"/>
    <w:rsid w:val="00966E5A"/>
    <w:rsid w:val="00993F9C"/>
    <w:rsid w:val="009B77D4"/>
    <w:rsid w:val="009C19E5"/>
    <w:rsid w:val="009D315D"/>
    <w:rsid w:val="009E49BB"/>
    <w:rsid w:val="00A07ADE"/>
    <w:rsid w:val="00A407A4"/>
    <w:rsid w:val="00A56153"/>
    <w:rsid w:val="00A5755C"/>
    <w:rsid w:val="00A619E3"/>
    <w:rsid w:val="00A815F4"/>
    <w:rsid w:val="00A83B18"/>
    <w:rsid w:val="00A870A7"/>
    <w:rsid w:val="00AA128E"/>
    <w:rsid w:val="00AA31F7"/>
    <w:rsid w:val="00AD75A4"/>
    <w:rsid w:val="00B51D0E"/>
    <w:rsid w:val="00B55E72"/>
    <w:rsid w:val="00B57EC5"/>
    <w:rsid w:val="00B64206"/>
    <w:rsid w:val="00B644AE"/>
    <w:rsid w:val="00BB0CE4"/>
    <w:rsid w:val="00C67BD7"/>
    <w:rsid w:val="00C75D4E"/>
    <w:rsid w:val="00C94984"/>
    <w:rsid w:val="00CD5DA1"/>
    <w:rsid w:val="00D10819"/>
    <w:rsid w:val="00D4308F"/>
    <w:rsid w:val="00D72F14"/>
    <w:rsid w:val="00D7315B"/>
    <w:rsid w:val="00DA045F"/>
    <w:rsid w:val="00DC3459"/>
    <w:rsid w:val="00DE3DD9"/>
    <w:rsid w:val="00DE6E86"/>
    <w:rsid w:val="00DF35C9"/>
    <w:rsid w:val="00E24E73"/>
    <w:rsid w:val="00E44F70"/>
    <w:rsid w:val="00E74F3A"/>
    <w:rsid w:val="00E761A8"/>
    <w:rsid w:val="00EB0A13"/>
    <w:rsid w:val="00F42FC6"/>
    <w:rsid w:val="00F5148B"/>
    <w:rsid w:val="00F70E9D"/>
    <w:rsid w:val="00F74E90"/>
    <w:rsid w:val="00F84C7C"/>
    <w:rsid w:val="00F941A8"/>
    <w:rsid w:val="00F95351"/>
    <w:rsid w:val="00F95847"/>
    <w:rsid w:val="00FD49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A924146-1D19-423D-BAC8-B8F48FB6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AA"/>
  </w:style>
  <w:style w:type="paragraph" w:styleId="Heading2">
    <w:name w:val="heading 2"/>
    <w:basedOn w:val="Normal"/>
    <w:next w:val="Normal"/>
    <w:link w:val="Heading2Char"/>
    <w:uiPriority w:val="9"/>
    <w:unhideWhenUsed/>
    <w:qFormat/>
    <w:rsid w:val="00DF35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4A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sous titre 2,EC,Colorful List Accent 1,Paragraphe de liste1,Bioforce zListePuce,References,MCHIP_list paragraph,List Paragraph1,Recommendation,Bullet List,FooterText"/>
    <w:basedOn w:val="Normal"/>
    <w:link w:val="ListParagraphChar"/>
    <w:uiPriority w:val="34"/>
    <w:qFormat/>
    <w:rsid w:val="009504AA"/>
    <w:pPr>
      <w:ind w:left="720"/>
      <w:contextualSpacing/>
    </w:pPr>
  </w:style>
  <w:style w:type="table" w:styleId="TableGrid">
    <w:name w:val="Table Grid"/>
    <w:basedOn w:val="TableNormal"/>
    <w:uiPriority w:val="59"/>
    <w:rsid w:val="0095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ous titre 2 Char,EC Char,Colorful List Accent 1 Char,Paragraphe de liste1 Char,Bioforce zListePuce Char,References Char,MCHIP_list paragraph Char,List Paragraph1 Char,Recommendation Char,Bullet List Char,FooterText Char"/>
    <w:basedOn w:val="DefaultParagraphFont"/>
    <w:link w:val="ListParagraph"/>
    <w:uiPriority w:val="34"/>
    <w:rsid w:val="00F941A8"/>
  </w:style>
  <w:style w:type="character" w:styleId="CommentReference">
    <w:name w:val="annotation reference"/>
    <w:basedOn w:val="DefaultParagraphFont"/>
    <w:uiPriority w:val="99"/>
    <w:semiHidden/>
    <w:unhideWhenUsed/>
    <w:rsid w:val="00244AB9"/>
    <w:rPr>
      <w:sz w:val="16"/>
      <w:szCs w:val="16"/>
    </w:rPr>
  </w:style>
  <w:style w:type="paragraph" w:styleId="CommentText">
    <w:name w:val="annotation text"/>
    <w:basedOn w:val="Normal"/>
    <w:link w:val="CommentTextChar"/>
    <w:uiPriority w:val="99"/>
    <w:semiHidden/>
    <w:unhideWhenUsed/>
    <w:rsid w:val="00244AB9"/>
    <w:pPr>
      <w:spacing w:line="240" w:lineRule="auto"/>
    </w:pPr>
    <w:rPr>
      <w:sz w:val="20"/>
      <w:szCs w:val="20"/>
    </w:rPr>
  </w:style>
  <w:style w:type="character" w:customStyle="1" w:styleId="CommentTextChar">
    <w:name w:val="Comment Text Char"/>
    <w:basedOn w:val="DefaultParagraphFont"/>
    <w:link w:val="CommentText"/>
    <w:uiPriority w:val="99"/>
    <w:semiHidden/>
    <w:rsid w:val="00244AB9"/>
    <w:rPr>
      <w:sz w:val="20"/>
      <w:szCs w:val="20"/>
    </w:rPr>
  </w:style>
  <w:style w:type="paragraph" w:styleId="CommentSubject">
    <w:name w:val="annotation subject"/>
    <w:basedOn w:val="CommentText"/>
    <w:next w:val="CommentText"/>
    <w:link w:val="CommentSubjectChar"/>
    <w:uiPriority w:val="99"/>
    <w:semiHidden/>
    <w:unhideWhenUsed/>
    <w:rsid w:val="00244AB9"/>
    <w:rPr>
      <w:b/>
      <w:bCs/>
    </w:rPr>
  </w:style>
  <w:style w:type="character" w:customStyle="1" w:styleId="CommentSubjectChar">
    <w:name w:val="Comment Subject Char"/>
    <w:basedOn w:val="CommentTextChar"/>
    <w:link w:val="CommentSubject"/>
    <w:uiPriority w:val="99"/>
    <w:semiHidden/>
    <w:rsid w:val="00244AB9"/>
    <w:rPr>
      <w:b/>
      <w:bCs/>
      <w:sz w:val="20"/>
      <w:szCs w:val="20"/>
    </w:rPr>
  </w:style>
  <w:style w:type="paragraph" w:styleId="BalloonText">
    <w:name w:val="Balloon Text"/>
    <w:basedOn w:val="Normal"/>
    <w:link w:val="BalloonTextChar"/>
    <w:uiPriority w:val="99"/>
    <w:semiHidden/>
    <w:unhideWhenUsed/>
    <w:rsid w:val="00244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AB9"/>
    <w:rPr>
      <w:rFonts w:ascii="Segoe UI" w:hAnsi="Segoe UI" w:cs="Segoe UI"/>
      <w:sz w:val="18"/>
      <w:szCs w:val="18"/>
    </w:rPr>
  </w:style>
  <w:style w:type="paragraph" w:styleId="Header">
    <w:name w:val="header"/>
    <w:basedOn w:val="Normal"/>
    <w:link w:val="HeaderChar"/>
    <w:uiPriority w:val="99"/>
    <w:unhideWhenUsed/>
    <w:rsid w:val="00032D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2D62"/>
  </w:style>
  <w:style w:type="paragraph" w:styleId="Footer">
    <w:name w:val="footer"/>
    <w:basedOn w:val="Normal"/>
    <w:link w:val="FooterChar"/>
    <w:uiPriority w:val="99"/>
    <w:unhideWhenUsed/>
    <w:rsid w:val="00032D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2D62"/>
  </w:style>
  <w:style w:type="character" w:customStyle="1" w:styleId="Heading2Char">
    <w:name w:val="Heading 2 Char"/>
    <w:basedOn w:val="DefaultParagraphFont"/>
    <w:link w:val="Heading2"/>
    <w:uiPriority w:val="9"/>
    <w:rsid w:val="00DF35C9"/>
    <w:rPr>
      <w:rFonts w:asciiTheme="majorHAnsi" w:eastAsiaTheme="majorEastAsia" w:hAnsiTheme="majorHAnsi" w:cstheme="majorBidi"/>
      <w:color w:val="2E74B5" w:themeColor="accent1" w:themeShade="BF"/>
      <w:sz w:val="26"/>
      <w:szCs w:val="26"/>
    </w:rPr>
  </w:style>
  <w:style w:type="paragraph" w:customStyle="1" w:styleId="Blockquote">
    <w:name w:val="Blockquote"/>
    <w:basedOn w:val="Normal"/>
    <w:rsid w:val="0033159F"/>
    <w:pPr>
      <w:spacing w:after="0" w:line="240" w:lineRule="auto"/>
      <w:ind w:left="360" w:right="360"/>
    </w:pPr>
    <w:rPr>
      <w:rFonts w:ascii="Arial" w:eastAsia="Times New Roman" w:hAnsi="Arial" w:cs="Times New Roman"/>
      <w:snapToGrid w:val="0"/>
      <w:sz w:val="20"/>
      <w:szCs w:val="20"/>
    </w:rPr>
  </w:style>
  <w:style w:type="character" w:styleId="Hyperlink">
    <w:name w:val="Hyperlink"/>
    <w:basedOn w:val="DefaultParagraphFont"/>
    <w:uiPriority w:val="99"/>
    <w:unhideWhenUsed/>
    <w:rsid w:val="009D315D"/>
    <w:rPr>
      <w:color w:val="0563C1" w:themeColor="hyperlink"/>
      <w:u w:val="single"/>
    </w:rPr>
  </w:style>
  <w:style w:type="paragraph" w:styleId="NoSpacing">
    <w:name w:val="No Spacing"/>
    <w:uiPriority w:val="1"/>
    <w:qFormat/>
    <w:rsid w:val="009C19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julien@institutbiofor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1334</Words>
  <Characters>7609</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JULIEN</dc:creator>
  <cp:keywords/>
  <dc:description/>
  <cp:lastModifiedBy>Windows User</cp:lastModifiedBy>
  <cp:revision>4</cp:revision>
  <cp:lastPrinted>2019-03-11T12:23:00Z</cp:lastPrinted>
  <dcterms:created xsi:type="dcterms:W3CDTF">2019-03-08T15:54:00Z</dcterms:created>
  <dcterms:modified xsi:type="dcterms:W3CDTF">2019-03-11T12:33:00Z</dcterms:modified>
</cp:coreProperties>
</file>